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5"/>
        <w:ind w:firstLine="300"/>
        <w:spacing w:line="360" w:lineRule="auto"/>
        <w:rPr>
          <w:sz w:val="60"/>
          <w:szCs w:val="60"/>
          <w:highlight w:val="none"/>
        </w:rPr>
      </w:pPr>
      <w:r>
        <w:rPr>
          <w:sz w:val="60"/>
          <w:szCs w:val="60"/>
          <w:highlight w:val="none"/>
        </w:rPr>
      </w:r>
      <w:r/>
    </w:p>
    <w:p>
      <w:pPr>
        <w:pStyle w:val="825"/>
        <w:jc w:val="center"/>
        <w:rPr>
          <w:rFonts w:hint="eastAsia" w:eastAsia="宋体"/>
          <w:b/>
          <w:bCs/>
          <w:sz w:val="60"/>
          <w:szCs w:val="60"/>
          <w:highlight w:val="none"/>
          <w:lang w:eastAsia="zh-CN"/>
        </w:rPr>
      </w:pPr>
      <w:r>
        <w:rPr>
          <w:rFonts w:hint="eastAsia"/>
          <w:b/>
          <w:bCs/>
          <w:sz w:val="60"/>
          <w:szCs w:val="60"/>
          <w:highlight w:val="none"/>
          <w:lang w:eastAsia="zh-CN"/>
        </w:rPr>
        <w:t xml:space="preserve">2026年滨开区绿化管护服务</w:t>
      </w:r>
      <w:r>
        <w:rPr>
          <w:rFonts w:hint="eastAsia" w:eastAsia="宋体"/>
          <w:b/>
          <w:bCs/>
          <w:sz w:val="60"/>
          <w:szCs w:val="60"/>
          <w:highlight w:val="none"/>
          <w:lang w:eastAsia="zh-CN"/>
        </w:rPr>
      </w:r>
      <w:r/>
    </w:p>
    <w:p>
      <w:pPr>
        <w:pStyle w:val="825"/>
        <w:jc w:val="center"/>
        <w:rPr>
          <w:rFonts w:hint="eastAsia"/>
          <w:b/>
          <w:bCs/>
          <w:sz w:val="60"/>
          <w:szCs w:val="60"/>
          <w:highlight w:val="none"/>
        </w:rPr>
      </w:pPr>
      <w:r>
        <w:rPr>
          <w:rFonts w:hint="eastAsia"/>
          <w:b/>
          <w:bCs/>
          <w:sz w:val="60"/>
          <w:szCs w:val="60"/>
          <w:highlight w:val="none"/>
        </w:rPr>
      </w:r>
      <w:r/>
    </w:p>
    <w:p>
      <w:pPr>
        <w:pStyle w:val="825"/>
        <w:jc w:val="center"/>
        <w:rPr>
          <w:rFonts w:hint="eastAsia"/>
          <w:b/>
          <w:bCs/>
          <w:sz w:val="60"/>
          <w:szCs w:val="60"/>
          <w:highlight w:val="none"/>
        </w:rPr>
      </w:pPr>
      <w:r>
        <w:rPr>
          <w:rFonts w:hint="eastAsia"/>
          <w:b/>
          <w:bCs/>
          <w:sz w:val="60"/>
          <w:szCs w:val="60"/>
          <w:highlight w:val="none"/>
        </w:rPr>
      </w:r>
      <w:r/>
    </w:p>
    <w:p>
      <w:pPr>
        <w:pStyle w:val="825"/>
        <w:jc w:val="center"/>
        <w:rPr>
          <w:rFonts w:hint="eastAsia"/>
          <w:b/>
          <w:bCs/>
          <w:sz w:val="60"/>
          <w:szCs w:val="60"/>
          <w:highlight w:val="none"/>
        </w:rPr>
      </w:pPr>
      <w:r>
        <w:rPr>
          <w:rFonts w:hint="eastAsia"/>
          <w:b/>
          <w:bCs/>
          <w:sz w:val="60"/>
          <w:szCs w:val="60"/>
          <w:highlight w:val="none"/>
        </w:rPr>
      </w:r>
      <w:r/>
    </w:p>
    <w:p>
      <w:pPr>
        <w:pStyle w:val="825"/>
        <w:jc w:val="center"/>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rPr>
          <w:b/>
          <w:bCs/>
          <w:sz w:val="60"/>
          <w:szCs w:val="60"/>
          <w:highlight w:val="none"/>
        </w:rPr>
      </w:r>
      <w:r/>
    </w:p>
    <w:p>
      <w:pPr>
        <w:pStyle w:val="825"/>
        <w:jc w:val="center"/>
        <w:rPr>
          <w:b/>
          <w:bCs/>
          <w:sz w:val="60"/>
          <w:szCs w:val="60"/>
          <w:highlight w:val="none"/>
        </w:rPr>
      </w:pPr>
      <w:r>
        <w:rPr>
          <w:b/>
          <w:bCs/>
          <w:sz w:val="60"/>
          <w:szCs w:val="60"/>
          <w:highlight w:val="none"/>
        </w:rPr>
      </w:r>
      <w:r/>
    </w:p>
    <w:p>
      <w:pPr>
        <w:pStyle w:val="825"/>
        <w:jc w:val="center"/>
        <w:spacing w:line="360" w:lineRule="auto"/>
        <w:rPr>
          <w:sz w:val="60"/>
          <w:szCs w:val="60"/>
          <w:highlight w:val="none"/>
        </w:rPr>
      </w:pPr>
      <w:r>
        <w:rPr>
          <w:sz w:val="60"/>
          <w:szCs w:val="60"/>
          <w:highlight w:val="none"/>
        </w:rPr>
      </w:r>
      <w:r/>
    </w:p>
    <w:p>
      <w:pPr>
        <w:pStyle w:val="825"/>
        <w:ind w:left="2832" w:hanging="1900"/>
        <w:jc w:val="left"/>
        <w:spacing w:line="360" w:lineRule="auto"/>
        <w:tabs>
          <w:tab w:val="left" w:pos="5609" w:leader="none"/>
        </w:tabs>
        <w:rPr>
          <w:rFonts w:hint="eastAsia"/>
          <w:bCs/>
          <w:sz w:val="36"/>
          <w:szCs w:val="36"/>
          <w:highlight w:val="none"/>
        </w:rPr>
      </w:pPr>
      <w:r>
        <w:rPr>
          <w:bCs/>
          <w:sz w:val="36"/>
          <w:szCs w:val="36"/>
          <w:highlight w:val="none"/>
        </w:rPr>
        <w:t xml:space="preserve">项目名称：</w:t>
      </w:r>
      <w:r>
        <w:rPr>
          <w:rFonts w:hint="eastAsia"/>
          <w:bCs/>
          <w:sz w:val="36"/>
          <w:szCs w:val="36"/>
          <w:highlight w:val="none"/>
          <w:lang w:eastAsia="zh-CN"/>
        </w:rPr>
        <w:t xml:space="preserve">2026年滨开区绿化管护服务</w:t>
      </w:r>
      <w:r>
        <w:rPr>
          <w:rFonts w:hint="eastAsia"/>
          <w:bCs/>
          <w:sz w:val="36"/>
          <w:szCs w:val="36"/>
          <w:highlight w:val="none"/>
        </w:rPr>
      </w:r>
      <w:r/>
    </w:p>
    <w:p>
      <w:pPr>
        <w:pStyle w:val="825"/>
        <w:ind w:left="2832" w:hanging="1900"/>
        <w:jc w:val="left"/>
        <w:spacing w:line="360" w:lineRule="auto"/>
        <w:tabs>
          <w:tab w:val="left" w:pos="3240" w:leader="none"/>
          <w:tab w:val="left" w:pos="3420" w:leader="none"/>
        </w:tabs>
        <w:rPr>
          <w:rFonts w:eastAsia="宋体"/>
          <w:bCs/>
          <w:sz w:val="36"/>
          <w:szCs w:val="36"/>
          <w:highlight w:val="none"/>
          <w:lang w:val="en-US" w:eastAsia="zh-CN"/>
        </w:rPr>
      </w:pPr>
      <w:r>
        <w:rPr>
          <w:bCs/>
          <w:sz w:val="36"/>
          <w:szCs w:val="36"/>
          <w:highlight w:val="none"/>
        </w:rPr>
        <w:t xml:space="preserve">项目编号</w:t>
      </w:r>
      <w:r>
        <w:rPr>
          <w:rFonts w:hint="eastAsia"/>
          <w:bCs/>
          <w:sz w:val="36"/>
          <w:szCs w:val="36"/>
          <w:highlight w:val="none"/>
          <w:lang w:eastAsia="zh-CN"/>
        </w:rPr>
        <w:t xml:space="preserve">：</w:t>
      </w:r>
      <w:r>
        <w:rPr>
          <w:rFonts w:hint="eastAsia"/>
          <w:bCs/>
          <w:sz w:val="36"/>
          <w:szCs w:val="36"/>
          <w:highlight w:val="none"/>
          <w:lang w:val="en-US" w:eastAsia="zh-CN"/>
        </w:rPr>
        <w:t xml:space="preserve">JSZC-320411001-CZCY-G2026-0004</w:t>
      </w:r>
      <w:r>
        <w:rPr>
          <w:rFonts w:hint="eastAsia"/>
          <w:bCs/>
          <w:sz w:val="36"/>
          <w:szCs w:val="36"/>
          <w:highlight w:val="none"/>
          <w:lang w:val="en-US" w:eastAsia="zh-CN"/>
        </w:rPr>
        <w:t xml:space="preserve">  </w:t>
      </w:r>
      <w:r>
        <w:rPr>
          <w:rFonts w:eastAsia="宋体"/>
          <w:bCs/>
          <w:sz w:val="36"/>
          <w:szCs w:val="36"/>
          <w:highlight w:val="none"/>
          <w:lang w:val="en-US" w:eastAsia="zh-CN"/>
        </w:rPr>
      </w:r>
      <w:r/>
    </w:p>
    <w:p>
      <w:pPr>
        <w:pStyle w:val="825"/>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江苏常州滨江经济开发区管理委员会</w:t>
      </w:r>
      <w:r>
        <w:rPr>
          <w:rFonts w:hint="eastAsia" w:eastAsia="宋体"/>
          <w:bCs/>
          <w:sz w:val="36"/>
          <w:szCs w:val="36"/>
          <w:highlight w:val="none"/>
          <w:lang w:eastAsia="zh-CN"/>
        </w:rPr>
      </w:r>
      <w:r/>
    </w:p>
    <w:p>
      <w:pPr>
        <w:pStyle w:val="825"/>
        <w:ind w:left="2832" w:hanging="1900"/>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常州承宇工程顾问有限公司</w:t>
      </w:r>
      <w:r>
        <w:rPr>
          <w:bCs/>
          <w:sz w:val="36"/>
          <w:szCs w:val="36"/>
          <w:highlight w:val="none"/>
        </w:rPr>
        <w:t xml:space="preserve"> </w:t>
      </w:r>
      <w:r>
        <w:rPr>
          <w:bCs/>
          <w:sz w:val="36"/>
          <w:szCs w:val="36"/>
          <w:highlight w:val="none"/>
        </w:rPr>
      </w:r>
      <w:r/>
    </w:p>
    <w:p>
      <w:pPr>
        <w:pStyle w:val="825"/>
        <w:jc w:val="center"/>
        <w:spacing w:line="500" w:lineRule="exact"/>
        <w:rPr>
          <w:b/>
          <w:sz w:val="36"/>
          <w:szCs w:val="36"/>
          <w:highlight w:val="none"/>
        </w:rPr>
      </w:pPr>
      <w:r>
        <w:rPr>
          <w:b/>
          <w:bCs/>
          <w:sz w:val="44"/>
          <w:highlight w:val="none"/>
        </w:rPr>
        <w:br w:type="page" w:clear="all"/>
      </w:r>
      <w:bookmarkStart w:id="0" w:name="_Toc99301418"/>
      <w:r>
        <w:rPr>
          <w:b/>
          <w:sz w:val="36"/>
          <w:szCs w:val="36"/>
          <w:highlight w:val="none"/>
        </w:rPr>
        <w:t xml:space="preserve">目      录</w:t>
      </w:r>
      <w:bookmarkEnd w:id="0"/>
      <w:r>
        <w:rPr>
          <w:b/>
          <w:sz w:val="36"/>
          <w:szCs w:val="36"/>
          <w:highlight w:val="none"/>
        </w:rPr>
      </w:r>
      <w:r/>
    </w:p>
    <w:p>
      <w:pPr>
        <w:pStyle w:val="825"/>
        <w:rPr>
          <w:highlight w:val="none"/>
        </w:rPr>
      </w:pPr>
      <w:r>
        <w:rPr>
          <w:highlight w:val="none"/>
        </w:rPr>
      </w:r>
      <w:r/>
    </w:p>
    <w:p>
      <w:pPr>
        <w:pStyle w:val="825"/>
        <w:rPr>
          <w:highlight w:val="none"/>
        </w:rPr>
      </w:pPr>
      <w:r>
        <w:rPr>
          <w:highlight w:val="none"/>
        </w:rPr>
      </w:r>
      <w:r/>
    </w:p>
    <w:p>
      <w:pPr>
        <w:pStyle w:val="825"/>
        <w:rPr>
          <w:highlight w:val="none"/>
        </w:rPr>
      </w:pPr>
      <w:r>
        <w:rPr>
          <w:highlight w:val="none"/>
        </w:rPr>
      </w:r>
      <w:r/>
    </w:p>
    <w:p>
      <w:pPr>
        <w:pStyle w:val="877"/>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87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901"/>
          <w:rFonts w:ascii="Times New Roman" w:hAnsi="Times New Roman"/>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7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901"/>
          <w:rFonts w:ascii="Times New Roman" w:hAnsi="Times New Roman"/>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6</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7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901"/>
          <w:rFonts w:ascii="Times New Roman" w:hAnsi="Times New Roman"/>
          <w:highlight w:val="none"/>
        </w:rPr>
        <w:t xml:space="preserve">第三章   资</w:t>
      </w:r>
      <w:bookmarkStart w:id="1" w:name="_Hlt100754117"/>
      <w:r>
        <w:rPr>
          <w:rStyle w:val="901"/>
          <w:rFonts w:ascii="Times New Roman" w:hAnsi="Times New Roman"/>
          <w:highlight w:val="none"/>
        </w:rPr>
        <w:t xml:space="preserve">格</w:t>
      </w:r>
      <w:bookmarkEnd w:id="1"/>
      <w:r>
        <w:rPr>
          <w:rStyle w:val="901"/>
          <w:rFonts w:ascii="Times New Roman" w:hAnsi="Times New Roman"/>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20</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7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901"/>
          <w:rFonts w:ascii="Times New Roman" w:hAnsi="Times New Roman"/>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7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901"/>
          <w:rFonts w:ascii="Times New Roman" w:hAnsi="Times New Roman"/>
          <w:highlight w:val="none"/>
        </w:rPr>
        <w:t xml:space="preserve">第五章   采购</w:t>
      </w:r>
      <w:bookmarkStart w:id="2" w:name="_Hlt100754103"/>
      <w:r/>
      <w:bookmarkStart w:id="3" w:name="_Hlt100754102"/>
      <w:r>
        <w:rPr>
          <w:rStyle w:val="901"/>
          <w:rFonts w:ascii="Times New Roman" w:hAnsi="Times New Roman"/>
          <w:highlight w:val="none"/>
        </w:rPr>
        <w:t xml:space="preserve">需</w:t>
      </w:r>
      <w:bookmarkEnd w:id="2"/>
      <w:r/>
      <w:bookmarkEnd w:id="3"/>
      <w:r>
        <w:rPr>
          <w:rStyle w:val="901"/>
          <w:rFonts w:ascii="Times New Roman" w:hAnsi="Times New Roman"/>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38</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7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901"/>
          <w:rFonts w:ascii="Times New Roman" w:hAnsi="Times New Roman"/>
          <w:highlight w:val="none"/>
        </w:rPr>
        <w:t xml:space="preserve">第六章   拟签订的合同文本</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_Toc99301425 \h </w:instrText>
      </w:r>
      <w:r>
        <w:rPr>
          <w:rFonts w:ascii="Times New Roman" w:hAnsi="Times New Roman"/>
          <w:highlight w:val="none"/>
        </w:rPr>
        <w:fldChar w:fldCharType="separate"/>
      </w:r>
      <w:r>
        <w:rPr>
          <w:rFonts w:ascii="Times New Roman" w:hAnsi="Times New Roman"/>
          <w:highlight w:val="none"/>
        </w:rPr>
        <w:t xml:space="preserve">81</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7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901"/>
          <w:rFonts w:ascii="Times New Roman" w:hAnsi="Times New Roman"/>
          <w:highlight w:val="none"/>
        </w:rPr>
        <w:t xml:space="preserve">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_Toc99301426 \h </w:instrText>
      </w:r>
      <w:r>
        <w:rPr>
          <w:rFonts w:ascii="Times New Roman" w:hAnsi="Times New Roman"/>
          <w:highlight w:val="none"/>
        </w:rPr>
        <w:fldChar w:fldCharType="separate"/>
      </w:r>
      <w:r>
        <w:rPr>
          <w:rFonts w:ascii="Times New Roman" w:hAnsi="Times New Roman"/>
          <w:highlight w:val="none"/>
        </w:rPr>
        <w:t xml:space="preserve">89</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77"/>
        <w:spacing w:line="36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825"/>
        <w:jc w:val="center"/>
        <w:spacing w:line="360" w:lineRule="auto"/>
        <w:rPr>
          <w:b/>
          <w:sz w:val="36"/>
          <w:szCs w:val="36"/>
          <w:highlight w:val="none"/>
        </w:rPr>
        <w:outlineLvl w:val="0"/>
      </w:pPr>
      <w:r>
        <w:rPr>
          <w:sz w:val="24"/>
          <w:highlight w:val="none"/>
        </w:rPr>
        <w:br w:type="page" w:clear="all"/>
      </w:r>
      <w:bookmarkStart w:id="4" w:name="_Toc99301419"/>
      <w:r>
        <w:rPr>
          <w:b/>
          <w:sz w:val="36"/>
          <w:szCs w:val="36"/>
          <w:highlight w:val="none"/>
        </w:rPr>
        <w:t xml:space="preserve">第一章   投标邀请</w:t>
      </w:r>
      <w:bookmarkEnd w:id="4"/>
      <w:r>
        <w:rPr>
          <w:b/>
          <w:sz w:val="36"/>
          <w:szCs w:val="36"/>
          <w:highlight w:val="none"/>
        </w:rPr>
      </w:r>
      <w:r/>
    </w:p>
    <w:p>
      <w:pPr>
        <w:pStyle w:val="825"/>
        <w:ind w:firstLine="640"/>
        <w:spacing w:line="360" w:lineRule="auto"/>
        <w:rPr>
          <w:sz w:val="32"/>
          <w:szCs w:val="32"/>
          <w:highlight w:val="none"/>
        </w:rPr>
      </w:pPr>
      <w:r>
        <w:rPr>
          <w:sz w:val="32"/>
          <w:szCs w:val="32"/>
          <w:highlight w:val="none"/>
        </w:rPr>
      </w:r>
      <w:r/>
    </w:p>
    <w:p>
      <w:pPr>
        <w:pStyle w:val="825"/>
        <w:spacing w:line="360" w:lineRule="auto"/>
        <w:rPr>
          <w:rFonts w:hint="eastAsia" w:ascii="宋体" w:hAnsi="宋体"/>
          <w:b/>
          <w:bCs/>
          <w:sz w:val="24"/>
          <w:highlight w:val="none"/>
        </w:rPr>
      </w:pPr>
      <w:r>
        <w:rPr>
          <w:rFonts w:hint="eastAsia" w:ascii="宋体" w:hAnsi="宋体"/>
          <w:b/>
          <w:bCs/>
          <w:sz w:val="24"/>
          <w:highlight w:val="none"/>
        </w:rPr>
        <w:t xml:space="preserve">一、项目基本情况</w:t>
      </w:r>
      <w:r>
        <w:rPr>
          <w:rFonts w:hint="eastAsia" w:ascii="宋体" w:hAnsi="宋体"/>
          <w:b/>
          <w:bCs/>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1.项目编号：</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JSZC-320411001-CZCY-G2026-0004</w:t>
      </w:r>
      <w:r>
        <w:rPr>
          <w:rFonts w:hint="eastAsia" w:ascii="宋体" w:hAnsi="宋体" w:cs="宋体"/>
          <w:sz w:val="24"/>
          <w:highlight w:val="none"/>
          <w:u w:val="single"/>
          <w:lang w:eastAsia="zh-CN"/>
        </w:rPr>
        <w:t xml:space="preserve"> </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2.项目名称：</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2026年滨开区绿化管护服务</w:t>
      </w:r>
      <w:r>
        <w:rPr>
          <w:rFonts w:hint="eastAsia" w:ascii="宋体" w:hAnsi="宋体" w:cs="宋体"/>
          <w:sz w:val="24"/>
          <w:highlight w:val="none"/>
          <w:u w:val="single"/>
        </w:rPr>
        <w:t xml:space="preserve"> </w:t>
      </w:r>
      <w:r>
        <w:rPr>
          <w:rFonts w:hint="eastAsia" w:ascii="宋体" w:hAnsi="宋体" w:cs="宋体"/>
          <w:sz w:val="24"/>
          <w:highlight w:val="none"/>
        </w:rPr>
      </w:r>
      <w:r/>
    </w:p>
    <w:p>
      <w:pPr>
        <w:pStyle w:val="825"/>
        <w:ind w:firstLine="480"/>
        <w:spacing w:line="360" w:lineRule="auto"/>
        <w:rPr>
          <w:rFonts w:ascii="宋体" w:hAnsi="宋体" w:eastAsia="宋体" w:cs="宋体"/>
          <w:sz w:val="24"/>
          <w:highlight w:val="none"/>
          <w:u w:val="single"/>
          <w:lang w:val="en-US" w:eastAsia="zh-CN"/>
        </w:rPr>
      </w:pPr>
      <w:r>
        <w:rPr>
          <w:rFonts w:hint="eastAsia" w:ascii="宋体" w:hAnsi="宋体" w:cs="宋体"/>
          <w:sz w:val="24"/>
          <w:highlight w:val="none"/>
        </w:rPr>
        <w:t xml:space="preserve">3.项目预算金额：</w:t>
      </w:r>
      <w:r>
        <w:rPr>
          <w:rFonts w:hint="eastAsia" w:ascii="宋体" w:hAnsi="宋体" w:cs="宋体"/>
          <w:sz w:val="24"/>
          <w:highlight w:val="none"/>
          <w:u w:val="single"/>
        </w:rPr>
        <w:t xml:space="preserve">人民币</w:t>
      </w:r>
      <w:r>
        <w:rPr>
          <w:rFonts w:hint="eastAsia" w:ascii="宋体" w:hAnsi="宋体" w:cs="宋体"/>
          <w:sz w:val="24"/>
          <w:highlight w:val="none"/>
          <w:u w:val="single"/>
          <w:lang w:val="en-US" w:eastAsia="zh-CN"/>
        </w:rPr>
        <w:t xml:space="preserve">1091.177262万元</w:t>
      </w:r>
      <w:r>
        <w:rPr>
          <w:rFonts w:hint="eastAsia" w:ascii="宋体" w:hAnsi="宋体" w:cs="宋体"/>
          <w:sz w:val="24"/>
          <w:highlight w:val="none"/>
          <w:u w:val="single"/>
        </w:rPr>
        <w:t xml:space="preserve">。</w:t>
      </w:r>
      <w:r>
        <w:rPr>
          <w:rFonts w:ascii="宋体" w:hAnsi="宋体" w:eastAsia="宋体" w:cs="宋体"/>
          <w:sz w:val="24"/>
          <w:highlight w:val="none"/>
          <w:u w:val="single"/>
          <w:lang w:val="en-US" w:eastAsia="zh-CN"/>
        </w:rPr>
      </w:r>
      <w:r/>
    </w:p>
    <w:p>
      <w:pPr>
        <w:pStyle w:val="825"/>
        <w:ind w:firstLine="480"/>
        <w:spacing w:line="360" w:lineRule="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项目最高限价：</w:t>
      </w:r>
      <w:r>
        <w:rPr>
          <w:rFonts w:hint="eastAsia" w:ascii="宋体" w:hAnsi="宋体" w:cs="宋体"/>
          <w:sz w:val="24"/>
          <w:highlight w:val="none"/>
          <w:u w:val="single"/>
          <w:lang w:val="en-US" w:eastAsia="zh-CN"/>
        </w:rPr>
        <w:t xml:space="preserve">1083.227763万元。</w:t>
      </w:r>
      <w:r>
        <w:rPr>
          <w:rFonts w:ascii="宋体" w:hAnsi="宋体" w:eastAsia="宋体" w:cs="宋体"/>
          <w:sz w:val="24"/>
          <w:highlight w:val="none"/>
          <w:lang w:val="en-US" w:eastAsia="zh-CN"/>
        </w:rPr>
      </w:r>
      <w:r/>
    </w:p>
    <w:p>
      <w:pPr>
        <w:pStyle w:val="825"/>
        <w:ind w:firstLine="480"/>
        <w:spacing w:line="360" w:lineRule="auto"/>
        <w:rPr>
          <w:rFonts w:ascii="宋体" w:hAnsi="宋体" w:eastAsia="宋体" w:cs="宋体"/>
          <w:sz w:val="24"/>
          <w:highlight w:val="none"/>
          <w:u w:val="single"/>
          <w:lang w:val="en-US" w:eastAsia="zh-CN"/>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.采购需求：</w:t>
      </w:r>
      <w:r>
        <w:rPr>
          <w:rFonts w:hint="eastAsia" w:ascii="宋体" w:hAnsi="宋体" w:cs="宋体"/>
          <w:sz w:val="24"/>
          <w:highlight w:val="none"/>
          <w:lang w:val="en-US" w:eastAsia="zh-CN"/>
        </w:rPr>
        <w:t xml:space="preserve">本项目为</w:t>
      </w:r>
      <w:r>
        <w:rPr>
          <w:rFonts w:hint="eastAsia" w:ascii="宋体" w:hAnsi="宋体" w:cs="宋体"/>
          <w:bCs/>
          <w:sz w:val="24"/>
          <w:highlight w:val="none"/>
          <w:lang w:eastAsia="zh-CN"/>
        </w:rPr>
        <w:t xml:space="preserve">2026年滨开区绿化管护服务，</w:t>
      </w:r>
      <w:r>
        <w:rPr>
          <w:rFonts w:hint="eastAsia" w:ascii="宋体" w:hAnsi="宋体" w:cs="宋体"/>
          <w:bCs/>
          <w:sz w:val="24"/>
          <w:highlight w:val="none"/>
          <w:lang w:val="en-US" w:eastAsia="zh-CN"/>
        </w:rPr>
        <w:t xml:space="preserve">具体详见招标文件</w:t>
      </w:r>
      <w:r>
        <w:rPr>
          <w:rFonts w:hint="eastAsia" w:ascii="宋体" w:hAnsi="宋体" w:eastAsia="宋体" w:cs="宋体"/>
          <w:sz w:val="24"/>
          <w:highlight w:val="none"/>
          <w:lang w:val="en-US" w:eastAsia="zh-CN"/>
        </w:rPr>
        <w:t xml:space="preserve">。</w:t>
      </w:r>
      <w:r>
        <w:rPr>
          <w:rFonts w:ascii="宋体" w:hAnsi="宋体" w:eastAsia="宋体" w:cs="宋体"/>
          <w:sz w:val="24"/>
          <w:highlight w:val="none"/>
          <w:u w:val="single"/>
          <w:lang w:val="en-US" w:eastAsia="zh-CN"/>
        </w:rPr>
      </w:r>
      <w:r/>
    </w:p>
    <w:p>
      <w:pPr>
        <w:pStyle w:val="825"/>
        <w:ind w:firstLine="480"/>
        <w:spacing w:line="360" w:lineRule="auto"/>
        <w:rPr>
          <w:rFonts w:hint="eastAsia" w:ascii="宋体" w:hAnsi="宋体" w:cs="宋体"/>
          <w:sz w:val="24"/>
          <w:highlight w:val="none"/>
          <w:u w:val="singl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.合同履行期限：</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壹年。</w:t>
      </w:r>
      <w:r>
        <w:rPr>
          <w:rFonts w:hint="eastAsia" w:ascii="宋体" w:hAnsi="宋体" w:cs="宋体"/>
          <w:sz w:val="24"/>
          <w:highlight w:val="none"/>
          <w:u w:val="singl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.本项目是否接受联合体：□是  ■否。</w:t>
      </w:r>
      <w:r>
        <w:rPr>
          <w:rFonts w:hint="eastAsia" w:ascii="宋体" w:hAnsi="宋体" w:cs="宋体"/>
          <w:sz w:val="24"/>
          <w:highlight w:val="none"/>
        </w:rPr>
      </w:r>
      <w:r/>
    </w:p>
    <w:p>
      <w:pPr>
        <w:pStyle w:val="825"/>
        <w:spacing w:line="360" w:lineRule="auto"/>
        <w:rPr>
          <w:rFonts w:hint="eastAsia" w:ascii="宋体" w:hAnsi="宋体"/>
          <w:b/>
          <w:bCs/>
          <w:sz w:val="24"/>
          <w:highlight w:val="none"/>
        </w:rPr>
      </w:pPr>
      <w:r/>
      <w:bookmarkStart w:id="5" w:name="_Toc35393791"/>
      <w:r/>
      <w:bookmarkStart w:id="6" w:name="_Toc28359003"/>
      <w:r/>
      <w:bookmarkStart w:id="7" w:name="_Toc35393622"/>
      <w:r/>
      <w:bookmarkStart w:id="8" w:name="_Toc28359080"/>
      <w:r>
        <w:rPr>
          <w:rFonts w:hint="eastAsia" w:ascii="宋体" w:hAnsi="宋体"/>
          <w:b/>
          <w:bCs/>
          <w:sz w:val="24"/>
          <w:highlight w:val="none"/>
        </w:rPr>
        <w:t xml:space="preserve">二、申请人的资格要求（须同时满足）</w:t>
      </w:r>
      <w:bookmarkEnd w:id="5"/>
      <w:r/>
      <w:bookmarkEnd w:id="6"/>
      <w:r/>
      <w:bookmarkEnd w:id="7"/>
      <w:r/>
      <w:bookmarkEnd w:id="8"/>
      <w:r>
        <w:rPr>
          <w:rFonts w:hint="eastAsia" w:ascii="宋体" w:hAnsi="宋体"/>
          <w:b/>
          <w:bCs/>
          <w:sz w:val="24"/>
          <w:highlight w:val="none"/>
        </w:rPr>
      </w:r>
      <w:r/>
    </w:p>
    <w:p>
      <w:pPr>
        <w:pStyle w:val="825"/>
        <w:ind w:firstLine="480"/>
        <w:spacing w:line="360" w:lineRule="auto"/>
        <w:rPr>
          <w:rFonts w:hint="eastAsia" w:ascii="宋体" w:hAnsi="宋体" w:cs="宋体"/>
          <w:sz w:val="24"/>
          <w:highlight w:val="none"/>
        </w:rPr>
      </w:pPr>
      <w:r/>
      <w:bookmarkStart w:id="9" w:name="_Toc28359081"/>
      <w:r/>
      <w:bookmarkStart w:id="10" w:name="_Toc28359004"/>
      <w:r>
        <w:rPr>
          <w:rFonts w:hint="eastAsia" w:ascii="宋体" w:hAnsi="宋体" w:cs="宋体"/>
          <w:sz w:val="24"/>
          <w:highlight w:val="none"/>
        </w:rPr>
        <w:t xml:space="preserve">1.满足《中华人民共和国政府采购法》第二十二条规定以及下列情形：</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2.落实政府采购政策需满足的资格要求：</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2.1 中小企业政策</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□本项目不专门面向中小企业预留采购份额。</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■本项目专门面向  ■中小 □小微企业  采购。即：提供的服务全部由符合政策要求的中小企业承接。</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2.2 其它落实政府采购政策的资格要求：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825"/>
        <w:ind w:firstLine="480"/>
        <w:spacing w:line="360" w:lineRule="auto"/>
        <w:rPr>
          <w:rFonts w:hint="eastAsia" w:ascii="宋体" w:hAnsi="宋体" w:cs="宋体"/>
          <w:i/>
          <w:iCs/>
          <w:sz w:val="24"/>
          <w:highlight w:val="none"/>
          <w:u w:val="single"/>
        </w:rPr>
      </w:pPr>
      <w:r>
        <w:rPr>
          <w:rFonts w:hint="eastAsia" w:ascii="宋体" w:hAnsi="宋体" w:cs="宋体"/>
          <w:sz w:val="24"/>
          <w:highlight w:val="none"/>
        </w:rPr>
        <w:t xml:space="preserve">3.本项目的特定资格要求：</w:t>
      </w:r>
      <w:r>
        <w:rPr>
          <w:rFonts w:hint="eastAsia" w:ascii="宋体" w:hAnsi="宋体" w:cs="宋体"/>
          <w:i/>
          <w:iCs/>
          <w:sz w:val="24"/>
          <w:highlight w:val="none"/>
          <w:u w:val="single"/>
        </w:rPr>
      </w:r>
      <w:r/>
    </w:p>
    <w:p>
      <w:pPr>
        <w:pStyle w:val="825"/>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3.1本项目是否接受分支机构参与响应：□是   ■否；</w:t>
      </w:r>
      <w:r>
        <w:rPr>
          <w:rFonts w:hint="eastAsia" w:ascii="宋体" w:hAnsi="宋体" w:cs="宋体"/>
          <w:sz w:val="24"/>
          <w:highlight w:val="none"/>
        </w:rPr>
      </w:r>
      <w:r/>
    </w:p>
    <w:p>
      <w:pPr>
        <w:pStyle w:val="825"/>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3.2 本项目是否属于政府购买服务：</w:t>
      </w:r>
      <w:r>
        <w:rPr>
          <w:rFonts w:hint="eastAsia" w:ascii="宋体" w:hAnsi="宋体" w:cs="宋体"/>
          <w:sz w:val="24"/>
          <w:highlight w:val="none"/>
        </w:rPr>
      </w:r>
      <w:r/>
    </w:p>
    <w:p>
      <w:pPr>
        <w:pStyle w:val="825"/>
        <w:ind w:left="991" w:firstLine="2"/>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否</w:t>
      </w:r>
      <w:r>
        <w:rPr>
          <w:rFonts w:hint="eastAsia" w:ascii="宋体" w:hAnsi="宋体" w:cs="宋体"/>
          <w:sz w:val="24"/>
          <w:highlight w:val="none"/>
        </w:rPr>
      </w:r>
      <w:r/>
    </w:p>
    <w:p>
      <w:pPr>
        <w:pStyle w:val="825"/>
        <w:ind w:left="991" w:firstLine="2"/>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是，公益一类事业单位、使用事业编制且由财政拨款保障的群团组织，不得作为承接主体；</w:t>
      </w:r>
      <w:r>
        <w:rPr>
          <w:rFonts w:hint="eastAsia" w:ascii="宋体" w:hAnsi="宋体" w:cs="宋体"/>
          <w:sz w:val="24"/>
          <w:highlight w:val="none"/>
        </w:rPr>
      </w:r>
      <w:r/>
    </w:p>
    <w:p>
      <w:pPr>
        <w:pStyle w:val="825"/>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u w:val="single"/>
        </w:rPr>
      </w:pPr>
      <w:r>
        <w:rPr>
          <w:rFonts w:hint="eastAsia" w:ascii="宋体" w:hAnsi="宋体" w:cs="宋体"/>
          <w:sz w:val="24"/>
          <w:highlight w:val="none"/>
        </w:rPr>
        <w:t xml:space="preserve">3.3其他特定资格要求：</w:t>
      </w:r>
      <w:r>
        <w:rPr>
          <w:rFonts w:hint="eastAsia" w:ascii="宋体" w:hAnsi="宋体" w:cs="宋体"/>
          <w:sz w:val="24"/>
          <w:highlight w:val="none"/>
          <w:u w:val="single"/>
          <w:lang w:val="en-US" w:eastAsia="zh-CN"/>
        </w:rPr>
        <w:t xml:space="preserve">/。</w:t>
      </w:r>
      <w:r>
        <w:rPr>
          <w:rFonts w:hint="eastAsia" w:ascii="宋体" w:hAnsi="宋体" w:cs="宋体"/>
          <w:sz w:val="24"/>
          <w:highlight w:val="none"/>
          <w:u w:val="single"/>
        </w:rPr>
      </w:r>
      <w:r/>
    </w:p>
    <w:p>
      <w:pPr>
        <w:pStyle w:val="825"/>
        <w:spacing w:line="360" w:lineRule="auto"/>
        <w:rPr>
          <w:rFonts w:hint="eastAsia" w:ascii="宋体" w:hAnsi="宋体"/>
          <w:b/>
          <w:bCs/>
          <w:sz w:val="24"/>
          <w:highlight w:val="none"/>
        </w:rPr>
      </w:pPr>
      <w:r/>
      <w:bookmarkEnd w:id="9"/>
      <w:r/>
      <w:bookmarkEnd w:id="10"/>
      <w:r/>
      <w:bookmarkStart w:id="11" w:name="_Toc35393623"/>
      <w:r/>
      <w:bookmarkStart w:id="12" w:name="_Toc35393792"/>
      <w:r>
        <w:rPr>
          <w:rFonts w:hint="eastAsia" w:ascii="宋体" w:hAnsi="宋体"/>
          <w:b/>
          <w:bCs/>
          <w:sz w:val="24"/>
          <w:highlight w:val="none"/>
        </w:rPr>
        <w:t xml:space="preserve">三、获取采购文件</w:t>
      </w:r>
      <w:bookmarkEnd w:id="11"/>
      <w:r/>
      <w:bookmarkEnd w:id="12"/>
      <w:r>
        <w:rPr>
          <w:rFonts w:hint="eastAsia" w:ascii="宋体" w:hAnsi="宋体"/>
          <w:b/>
          <w:bCs/>
          <w:sz w:val="24"/>
          <w:highlight w:val="none"/>
        </w:rPr>
      </w:r>
      <w:r/>
    </w:p>
    <w:p>
      <w:pPr>
        <w:pStyle w:val="825"/>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1.时间：</w:t>
      </w:r>
      <w:r>
        <w:rPr>
          <w:rFonts w:hint="eastAsia" w:ascii="宋体" w:hAnsi="宋体" w:cs="宋体"/>
          <w:sz w:val="24"/>
          <w:highlight w:val="none"/>
          <w:u w:val="none"/>
          <w:lang w:val="en-US" w:eastAsia="zh-CN"/>
        </w:rPr>
        <w:t xml:space="preserve">自本公告发出之日</w:t>
      </w:r>
      <w:r>
        <w:rPr>
          <w:rFonts w:hint="eastAsia" w:ascii="宋体" w:hAnsi="宋体" w:cs="宋体"/>
          <w:sz w:val="24"/>
          <w:highlight w:val="none"/>
          <w:lang w:bidi="ar"/>
        </w:rPr>
        <w:t xml:space="preserve">至</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lang w:val="en-US" w:eastAsia="zh-CN"/>
        </w:rPr>
        <w:t xml:space="preserve"> 6 </w:t>
      </w:r>
      <w:r>
        <w:rPr>
          <w:rFonts w:hint="eastAsia" w:ascii="宋体" w:hAnsi="宋体" w:cs="宋体"/>
          <w:sz w:val="24"/>
          <w:highlight w:val="none"/>
          <w:lang w:bidi="ar"/>
        </w:rPr>
        <w:t xml:space="preserve">月</w:t>
      </w:r>
      <w:r>
        <w:rPr>
          <w:rFonts w:hint="eastAsia" w:ascii="宋体" w:hAnsi="宋体" w:cs="宋体"/>
          <w:sz w:val="24"/>
          <w:highlight w:val="none"/>
          <w:u w:val="single"/>
          <w:lang w:val="en-US" w:eastAsia="zh-CN"/>
        </w:rPr>
        <w:t xml:space="preserve"> 4 </w:t>
      </w:r>
      <w:r>
        <w:rPr>
          <w:rFonts w:hint="eastAsia" w:ascii="宋体" w:hAnsi="宋体" w:cs="宋体"/>
          <w:sz w:val="24"/>
          <w:highlight w:val="none"/>
          <w:lang w:bidi="ar"/>
        </w:rPr>
        <w:t xml:space="preserve">日</w:t>
      </w:r>
      <w:r>
        <w:rPr>
          <w:rFonts w:hint="eastAsia" w:ascii="宋体" w:hAnsi="宋体" w:cs="宋体"/>
          <w:sz w:val="24"/>
          <w:highlight w:val="none"/>
          <w:lang w:bidi="ar"/>
        </w:rPr>
        <w:t xml:space="preserve">。（北京时间，法定节假日除外）。</w:t>
      </w:r>
      <w:r>
        <w:rPr>
          <w:rFonts w:hint="eastAsia" w:ascii="宋体" w:hAnsi="宋体" w:cs="宋体"/>
          <w:sz w:val="24"/>
          <w:highlight w:val="none"/>
          <w:lang w:bidi="ar"/>
        </w:rPr>
      </w:r>
      <w:r/>
    </w:p>
    <w:p>
      <w:pPr>
        <w:pStyle w:val="825"/>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2.地点：政府采购一体化平台“苏采云”。</w:t>
      </w:r>
      <w:r>
        <w:rPr>
          <w:rFonts w:hint="eastAsia" w:ascii="宋体" w:hAnsi="宋体" w:cs="宋体"/>
          <w:sz w:val="24"/>
          <w:highlight w:val="none"/>
          <w:lang w:bidi="ar"/>
        </w:rPr>
      </w:r>
      <w:r/>
    </w:p>
    <w:p>
      <w:pPr>
        <w:pStyle w:val="825"/>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3.方式：在“苏采云”平台自行免费下载招标文件。</w:t>
      </w:r>
      <w:r>
        <w:rPr>
          <w:rFonts w:hint="eastAsia" w:ascii="宋体" w:hAnsi="宋体" w:cs="宋体"/>
          <w:sz w:val="24"/>
          <w:highlight w:val="none"/>
          <w:lang w:bidi="ar"/>
        </w:rPr>
      </w:r>
      <w:r/>
    </w:p>
    <w:p>
      <w:pPr>
        <w:pStyle w:val="825"/>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4.售价：</w:t>
      </w:r>
      <w:r>
        <w:rPr>
          <w:rFonts w:hint="eastAsia" w:ascii="宋体" w:hAnsi="宋体" w:cs="宋体"/>
          <w:sz w:val="24"/>
          <w:highlight w:val="none"/>
          <w:u w:val="single"/>
          <w:lang w:bidi="ar"/>
        </w:rPr>
        <w:t xml:space="preserve"> 0 </w:t>
      </w:r>
      <w:r>
        <w:rPr>
          <w:rFonts w:hint="eastAsia" w:ascii="宋体" w:hAnsi="宋体" w:cs="宋体"/>
          <w:sz w:val="24"/>
          <w:highlight w:val="none"/>
          <w:lang w:bidi="ar"/>
        </w:rPr>
        <w:t xml:space="preserve">元。</w:t>
      </w:r>
      <w:r>
        <w:rPr>
          <w:rFonts w:hint="eastAsia" w:ascii="宋体" w:hAnsi="宋体" w:cs="宋体"/>
          <w:sz w:val="24"/>
          <w:highlight w:val="none"/>
          <w:lang w:bidi="ar"/>
        </w:rPr>
      </w:r>
      <w:r/>
    </w:p>
    <w:p>
      <w:pPr>
        <w:pStyle w:val="825"/>
        <w:spacing w:line="360" w:lineRule="auto"/>
        <w:rPr>
          <w:rFonts w:hint="eastAsia" w:ascii="宋体" w:hAnsi="宋体"/>
          <w:b/>
          <w:bCs/>
          <w:sz w:val="24"/>
          <w:highlight w:val="none"/>
        </w:rPr>
      </w:pPr>
      <w:r/>
      <w:bookmarkStart w:id="13" w:name="_Toc28359005"/>
      <w:r/>
      <w:bookmarkStart w:id="14" w:name="_Toc35393624"/>
      <w:r/>
      <w:bookmarkStart w:id="15" w:name="_Toc28359082"/>
      <w:r/>
      <w:bookmarkStart w:id="16" w:name="_Toc35393793"/>
      <w:r>
        <w:rPr>
          <w:rFonts w:hint="eastAsia" w:ascii="宋体" w:hAnsi="宋体"/>
          <w:b/>
          <w:bCs/>
          <w:sz w:val="24"/>
          <w:highlight w:val="none"/>
        </w:rPr>
        <w:t xml:space="preserve">四、</w:t>
      </w:r>
      <w:bookmarkEnd w:id="13"/>
      <w:r/>
      <w:bookmarkEnd w:id="14"/>
      <w:r/>
      <w:bookmarkEnd w:id="15"/>
      <w:r/>
      <w:bookmarkEnd w:id="16"/>
      <w:r>
        <w:rPr>
          <w:rFonts w:hint="eastAsia" w:ascii="宋体" w:hAnsi="宋体"/>
          <w:b/>
          <w:bCs/>
          <w:sz w:val="24"/>
          <w:highlight w:val="none"/>
        </w:rPr>
        <w:t xml:space="preserve">响应文件提交</w:t>
      </w:r>
      <w:r>
        <w:rPr>
          <w:rFonts w:hint="eastAsia" w:ascii="宋体" w:hAnsi="宋体"/>
          <w:b/>
          <w:bCs/>
          <w:sz w:val="24"/>
          <w:highlight w:val="none"/>
        </w:rPr>
      </w:r>
      <w:r/>
    </w:p>
    <w:p>
      <w:pPr>
        <w:pStyle w:val="825"/>
        <w:ind w:firstLine="480"/>
        <w:spacing w:line="360" w:lineRule="auto"/>
        <w:rPr>
          <w:rFonts w:hint="eastAsia" w:ascii="宋体" w:hAnsi="宋体" w:cs="宋体"/>
          <w:bCs/>
          <w:sz w:val="24"/>
          <w:highlight w:val="none"/>
          <w:u w:val="single"/>
        </w:rPr>
      </w:pPr>
      <w:r>
        <w:rPr>
          <w:rFonts w:hint="eastAsia" w:ascii="宋体" w:hAnsi="宋体" w:cs="宋体"/>
          <w:sz w:val="24"/>
          <w:highlight w:val="none"/>
          <w:lang w:bidi="ar"/>
        </w:rPr>
        <w:t xml:space="preserve">截止时间：</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lang w:val="en-US" w:eastAsia="zh-CN" w:bidi="ar"/>
        </w:rPr>
        <w:t xml:space="preserve"> </w:t>
      </w:r>
      <w:r>
        <w:rPr>
          <w:rFonts w:hint="eastAsia" w:ascii="宋体" w:hAnsi="宋体" w:cs="宋体"/>
          <w:sz w:val="24"/>
          <w:highlight w:val="none"/>
          <w:u w:val="single"/>
          <w:lang w:val="en-US" w:eastAsia="zh-CN"/>
        </w:rPr>
        <w:t xml:space="preserve">6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23</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14</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点</w:t>
      </w:r>
      <w:r>
        <w:rPr>
          <w:rFonts w:hint="eastAsia" w:ascii="宋体" w:hAnsi="宋体" w:cs="宋体"/>
          <w:sz w:val="24"/>
          <w:highlight w:val="none"/>
          <w:u w:val="single"/>
          <w:lang w:val="en-US" w:eastAsia="zh-CN"/>
        </w:rPr>
        <w:t xml:space="preserve">00</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分</w:t>
      </w:r>
      <w:r>
        <w:rPr>
          <w:rFonts w:hint="eastAsia" w:ascii="宋体" w:hAnsi="宋体" w:cs="宋体"/>
          <w:bCs/>
          <w:sz w:val="24"/>
          <w:highlight w:val="none"/>
          <w:lang w:bidi="ar"/>
        </w:rPr>
        <w:t xml:space="preserve">（北京时间）</w:t>
      </w:r>
      <w:r>
        <w:rPr>
          <w:rFonts w:hint="eastAsia" w:ascii="宋体" w:hAnsi="宋体" w:cs="宋体"/>
          <w:iCs/>
          <w:sz w:val="24"/>
          <w:highlight w:val="none"/>
          <w:lang w:bidi="ar"/>
        </w:rPr>
        <w:t xml:space="preserve">。</w:t>
      </w:r>
      <w:r>
        <w:rPr>
          <w:rFonts w:hint="eastAsia" w:ascii="宋体" w:hAnsi="宋体" w:cs="宋体"/>
          <w:bCs/>
          <w:sz w:val="24"/>
          <w:highlight w:val="none"/>
          <w:u w:val="single"/>
        </w:rPr>
      </w:r>
      <w:r/>
    </w:p>
    <w:p>
      <w:pPr>
        <w:pStyle w:val="825"/>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地点：</w:t>
      </w:r>
      <w:r>
        <w:rPr>
          <w:rFonts w:hint="eastAsia" w:ascii="宋体" w:hAnsi="宋体" w:cs="宋体"/>
          <w:sz w:val="24"/>
          <w:highlight w:val="none"/>
          <w:u w:val="single"/>
          <w:lang w:bidi="ar"/>
        </w:rPr>
        <w:t xml:space="preserve">本项目采用不见面交易方式，无需到现场提交，投标人登录政府采购一体化平台“苏采云”供应商端，通过系统在线提交电子投标文件</w:t>
      </w:r>
      <w:r>
        <w:rPr>
          <w:rFonts w:hint="eastAsia" w:ascii="宋体" w:hAnsi="宋体" w:cs="宋体"/>
          <w:sz w:val="24"/>
          <w:highlight w:val="none"/>
          <w:lang w:bidi="ar"/>
        </w:rPr>
        <w:t xml:space="preserve">。</w:t>
      </w:r>
      <w:r>
        <w:rPr>
          <w:rFonts w:hint="eastAsia" w:ascii="宋体" w:hAnsi="宋体" w:cs="宋体"/>
          <w:sz w:val="24"/>
          <w:highlight w:val="none"/>
          <w:lang w:bidi="ar"/>
        </w:rPr>
      </w:r>
      <w:r/>
    </w:p>
    <w:p>
      <w:pPr>
        <w:pStyle w:val="825"/>
        <w:spacing w:line="360" w:lineRule="auto"/>
        <w:rPr>
          <w:rFonts w:hint="eastAsia" w:ascii="宋体" w:hAnsi="宋体"/>
          <w:b/>
          <w:bCs/>
          <w:sz w:val="24"/>
          <w:highlight w:val="none"/>
        </w:rPr>
      </w:pPr>
      <w:r>
        <w:rPr>
          <w:rFonts w:hint="eastAsia" w:ascii="宋体" w:hAnsi="宋体"/>
          <w:b/>
          <w:bCs/>
          <w:sz w:val="24"/>
          <w:highlight w:val="none"/>
        </w:rPr>
        <w:t xml:space="preserve">五、开启</w:t>
      </w:r>
      <w:r>
        <w:rPr>
          <w:rFonts w:hint="eastAsia" w:ascii="宋体" w:hAnsi="宋体"/>
          <w:b/>
          <w:bCs/>
          <w:sz w:val="24"/>
          <w:highlight w:val="none"/>
        </w:rPr>
      </w:r>
      <w:r/>
    </w:p>
    <w:p>
      <w:pPr>
        <w:pStyle w:val="825"/>
        <w:ind w:firstLine="480"/>
        <w:spacing w:line="360" w:lineRule="auto"/>
        <w:rPr>
          <w:rFonts w:hint="eastAsia" w:ascii="宋体" w:hAnsi="宋体" w:cs="宋体"/>
          <w:bCs/>
          <w:sz w:val="24"/>
          <w:highlight w:val="none"/>
          <w:u w:val="single"/>
        </w:rPr>
      </w:pPr>
      <w:r>
        <w:rPr>
          <w:rFonts w:hint="eastAsia" w:ascii="宋体" w:hAnsi="宋体" w:cs="宋体"/>
          <w:sz w:val="24"/>
          <w:highlight w:val="none"/>
          <w:lang w:bidi="ar"/>
        </w:rPr>
        <w:t xml:space="preserve">时间：</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6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23</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14</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0</w:t>
      </w:r>
      <w:r>
        <w:rPr>
          <w:rFonts w:hint="eastAsia" w:ascii="宋体" w:hAnsi="宋体" w:cs="宋体"/>
          <w:sz w:val="24"/>
          <w:highlight w:val="none"/>
          <w:u w:val="single"/>
        </w:rPr>
        <w:t xml:space="preserve">0 </w:t>
      </w:r>
      <w:r>
        <w:rPr>
          <w:rFonts w:hint="eastAsia" w:ascii="宋体" w:hAnsi="宋体" w:cs="宋体"/>
          <w:sz w:val="24"/>
          <w:highlight w:val="none"/>
          <w:lang w:bidi="ar"/>
        </w:rPr>
        <w:t xml:space="preserve">分</w:t>
      </w:r>
      <w:r>
        <w:rPr>
          <w:rFonts w:hint="eastAsia" w:ascii="宋体" w:hAnsi="宋体" w:cs="宋体"/>
          <w:bCs/>
          <w:sz w:val="24"/>
          <w:highlight w:val="none"/>
          <w:lang w:bidi="ar"/>
        </w:rPr>
        <w:t xml:space="preserve">（北京时间）</w:t>
      </w:r>
      <w:r>
        <w:rPr>
          <w:rFonts w:hint="eastAsia" w:ascii="宋体" w:hAnsi="宋体" w:cs="宋体"/>
          <w:iCs/>
          <w:sz w:val="24"/>
          <w:highlight w:val="none"/>
          <w:lang w:bidi="ar"/>
        </w:rPr>
        <w:t xml:space="preserve">。</w:t>
      </w:r>
      <w:r>
        <w:rPr>
          <w:rFonts w:hint="eastAsia" w:ascii="宋体" w:hAnsi="宋体" w:cs="宋体"/>
          <w:bCs/>
          <w:sz w:val="24"/>
          <w:highlight w:val="none"/>
          <w:u w:val="single"/>
        </w:rPr>
      </w:r>
      <w:r/>
    </w:p>
    <w:p>
      <w:pPr>
        <w:pStyle w:val="825"/>
        <w:ind w:firstLine="480"/>
        <w:spacing w:line="360" w:lineRule="auto"/>
        <w:rPr>
          <w:rFonts w:hint="eastAsia" w:ascii="宋体" w:hAnsi="宋体" w:cs="宋体"/>
          <w:sz w:val="24"/>
          <w:highlight w:val="none"/>
          <w:lang w:bidi="ar"/>
        </w:rPr>
      </w:pPr>
      <w:r/>
      <w:bookmarkStart w:id="17" w:name="_Toc35393625"/>
      <w:r/>
      <w:bookmarkStart w:id="18" w:name="_Toc35393794"/>
      <w:r/>
      <w:bookmarkStart w:id="19" w:name="_Toc28359084"/>
      <w:r/>
      <w:bookmarkStart w:id="20" w:name="_Toc28359007"/>
      <w:r>
        <w:rPr>
          <w:rFonts w:hint="eastAsia" w:ascii="宋体" w:hAnsi="宋体" w:cs="宋体"/>
          <w:sz w:val="24"/>
          <w:highlight w:val="none"/>
          <w:lang w:bidi="ar"/>
        </w:rPr>
        <w:t xml:space="preserve">地点：</w:t>
      </w:r>
      <w:r>
        <w:rPr>
          <w:rFonts w:hint="eastAsia" w:ascii="宋体" w:hAnsi="宋体" w:cs="宋体"/>
          <w:sz w:val="24"/>
          <w:highlight w:val="none"/>
          <w:u w:val="single"/>
          <w:lang w:bidi="ar"/>
        </w:rPr>
        <w:t xml:space="preserve">本项目采用不见面交易方式，无需到现场提交，投标人登录政府采购一体化平台“苏采云”供应商端，通过系统在线提交电子投标文件</w:t>
      </w:r>
      <w:r>
        <w:rPr>
          <w:rFonts w:hint="eastAsia" w:ascii="宋体" w:hAnsi="宋体" w:cs="宋体"/>
          <w:sz w:val="24"/>
          <w:highlight w:val="none"/>
          <w:lang w:bidi="ar"/>
        </w:rPr>
        <w:t xml:space="preserve">。</w:t>
      </w:r>
      <w:r>
        <w:rPr>
          <w:rFonts w:hint="eastAsia" w:ascii="宋体" w:hAnsi="宋体" w:cs="宋体"/>
          <w:sz w:val="24"/>
          <w:highlight w:val="none"/>
          <w:lang w:bidi="ar"/>
        </w:rPr>
      </w:r>
      <w:r/>
    </w:p>
    <w:p>
      <w:pPr>
        <w:pStyle w:val="825"/>
        <w:spacing w:line="360" w:lineRule="auto"/>
        <w:rPr>
          <w:rFonts w:hint="eastAsia" w:ascii="宋体" w:hAnsi="宋体"/>
          <w:b/>
          <w:bCs/>
          <w:sz w:val="24"/>
          <w:highlight w:val="none"/>
        </w:rPr>
      </w:pPr>
      <w:r>
        <w:rPr>
          <w:rFonts w:hint="eastAsia" w:ascii="宋体" w:hAnsi="宋体"/>
          <w:b/>
          <w:bCs/>
          <w:sz w:val="24"/>
          <w:highlight w:val="none"/>
        </w:rPr>
        <w:t xml:space="preserve">六、公告期限</w:t>
      </w:r>
      <w:bookmarkEnd w:id="17"/>
      <w:r/>
      <w:bookmarkEnd w:id="18"/>
      <w:r/>
      <w:bookmarkEnd w:id="19"/>
      <w:r/>
      <w:bookmarkEnd w:id="20"/>
      <w:r>
        <w:rPr>
          <w:rFonts w:hint="eastAsia" w:ascii="宋体" w:hAnsi="宋体"/>
          <w:b/>
          <w:bCs/>
          <w:sz w:val="24"/>
          <w:highlight w:val="none"/>
        </w:rPr>
      </w:r>
      <w:r/>
    </w:p>
    <w:p>
      <w:pPr>
        <w:pStyle w:val="825"/>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自本公告发布之日起</w:t>
      </w:r>
      <w:r>
        <w:rPr>
          <w:rFonts w:hint="eastAsia" w:ascii="宋体" w:hAnsi="宋体" w:cs="宋体"/>
          <w:sz w:val="24"/>
          <w:highlight w:val="none"/>
          <w:lang w:val="en-US" w:eastAsia="zh-CN" w:bidi="ar"/>
        </w:rPr>
        <w:t xml:space="preserve">5</w:t>
      </w:r>
      <w:r>
        <w:rPr>
          <w:rFonts w:hint="eastAsia" w:ascii="宋体" w:hAnsi="宋体" w:cs="宋体"/>
          <w:sz w:val="24"/>
          <w:highlight w:val="none"/>
          <w:lang w:bidi="ar"/>
        </w:rPr>
        <w:t xml:space="preserve">个工作日。</w:t>
      </w:r>
      <w:r>
        <w:rPr>
          <w:rFonts w:hint="eastAsia" w:ascii="宋体" w:hAnsi="宋体" w:cs="宋体"/>
          <w:sz w:val="24"/>
          <w:highlight w:val="none"/>
          <w:lang w:bidi="ar"/>
        </w:rPr>
      </w:r>
      <w:r/>
    </w:p>
    <w:p>
      <w:pPr>
        <w:pStyle w:val="825"/>
        <w:spacing w:line="360" w:lineRule="auto"/>
        <w:rPr>
          <w:rFonts w:hint="eastAsia" w:ascii="宋体" w:hAnsi="宋体"/>
          <w:b/>
          <w:bCs/>
          <w:sz w:val="24"/>
          <w:highlight w:val="none"/>
        </w:rPr>
      </w:pPr>
      <w:r/>
      <w:bookmarkStart w:id="21" w:name="_Toc35393626"/>
      <w:r/>
      <w:bookmarkStart w:id="22" w:name="_Toc35393795"/>
      <w:r>
        <w:rPr>
          <w:rFonts w:hint="eastAsia" w:ascii="宋体" w:hAnsi="宋体"/>
          <w:b/>
          <w:bCs/>
          <w:sz w:val="24"/>
          <w:highlight w:val="none"/>
        </w:rPr>
        <w:t xml:space="preserve">七、其他补充事宜</w:t>
      </w:r>
      <w:bookmarkEnd w:id="21"/>
      <w:r/>
      <w:bookmarkEnd w:id="22"/>
      <w:r>
        <w:rPr>
          <w:rFonts w:hint="eastAsia" w:ascii="宋体" w:hAnsi="宋体"/>
          <w:b/>
          <w:bCs/>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1.本项目需要落实的政府采购政策：</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2.本项目采用不见面交易方式，请供应商认真学习常州市政府采购网发布的相关操作手册，办理CA认证证书、进行政府采购一体化平台“苏采云”注册绑定，并认真核实数字认证证书情况确认是否符合本项目电子化采购流程要求。</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技术支持服务热线    0519-85588210</w:t>
      </w:r>
      <w:r>
        <w:rPr>
          <w:rFonts w:hint="eastAsia" w:ascii="宋体" w:hAnsi="宋体" w:cs="宋体"/>
          <w:sz w:val="24"/>
          <w:highlight w:val="none"/>
        </w:rPr>
      </w:r>
      <w:r/>
    </w:p>
    <w:p>
      <w:pPr>
        <w:pStyle w:val="825"/>
        <w:ind w:firstLine="480"/>
        <w:spacing w:line="360" w:lineRule="auto"/>
        <w:rPr>
          <w:rFonts w:hint="eastAsia" w:ascii="宋体" w:hAnsi="宋体" w:eastAsia="宋体" w:cs="宋体"/>
          <w:sz w:val="24"/>
          <w:highlight w:val="none"/>
        </w:rPr>
      </w:pPr>
      <w:r>
        <w:rPr>
          <w:rFonts w:hint="eastAsia" w:ascii="宋体" w:hAnsi="宋体" w:cs="宋体"/>
          <w:sz w:val="24"/>
          <w:highlight w:val="none"/>
        </w:rPr>
        <w:t xml:space="preserve">CA认证证书办理（可邮寄）联系电话   </w:t>
      </w:r>
      <w:r>
        <w:rPr>
          <w:rFonts w:hint="eastAsia" w:ascii="宋体" w:hAnsi="宋体" w:eastAsia="宋体" w:cs="宋体"/>
          <w:sz w:val="24"/>
          <w:highlight w:val="none"/>
        </w:rPr>
        <w:t xml:space="preserve"> 0519</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85588120</w:t>
      </w:r>
      <w:r>
        <w:rPr>
          <w:rFonts w:hint="eastAsia" w:ascii="宋体" w:hAnsi="宋体" w:eastAsia="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2.1办理CA认证证书</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供应商登录政府采购一体化平台“苏采云”“新CA办理指南”，按照程序要求办理。</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2.2注册</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供应商登录政府采购一体化平台“苏采云”下载“用户注册”查阅后进行自助注册。</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2.3控件、客户端下载</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供应商登录政府采购一体化平台“苏采云”下载“驱动下载”，安装驱动。</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2.4获取电子</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供应商持CA数字认证证书登录政府采购一体化平台“苏采云”获取电子招标文件。未在规定期限内通过政府采购一体化平台“苏采云”获取招标文件的投标无效。</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2.5编制电子响应文件</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2.6提交电子响应文件</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供应商应于投标截止时间前在政府采购一体化平台“苏采云”提交电子投标文件，上传电子投标文件过程中请保持与互联网的连接畅通。</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2.7电子开标</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供应商使用CA认证证书登录政府采购一体化平台“苏采云”进行电子化不见面开标。</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2.8注意事项</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sz w:val="24"/>
          <w:highlight w:val="none"/>
        </w:rPr>
      </w:r>
      <w:r/>
    </w:p>
    <w:p>
      <w:pPr>
        <w:pStyle w:val="825"/>
        <w:ind w:firstLine="480"/>
        <w:spacing w:line="360" w:lineRule="auto"/>
        <w:rPr>
          <w:rFonts w:hint="eastAsia" w:ascii="宋体" w:hAnsi="宋体" w:cs="宋体"/>
          <w:sz w:val="24"/>
          <w:highlight w:val="none"/>
          <w:lang w:val="zh-TW" w:bidi="ar"/>
        </w:rPr>
      </w:pPr>
      <w:r>
        <w:rPr>
          <w:rFonts w:hint="eastAsia" w:ascii="宋体" w:hAnsi="宋体" w:cs="宋体"/>
          <w:sz w:val="24"/>
          <w:highlight w:val="none"/>
        </w:rPr>
        <w:t xml:space="preserve">3.</w:t>
      </w:r>
      <w:r>
        <w:rPr>
          <w:rFonts w:hint="eastAsia" w:ascii="宋体" w:hAnsi="宋体" w:cs="宋体"/>
          <w:sz w:val="24"/>
          <w:highlight w:val="none"/>
          <w:lang w:val="zh-TW" w:bidi="ar"/>
        </w:rPr>
        <w:t xml:space="preserve">关于常州市中小企业政府采购信用融资：</w:t>
      </w:r>
      <w:r>
        <w:rPr>
          <w:rFonts w:hint="eastAsia" w:ascii="宋体" w:hAnsi="宋体" w:cs="宋体"/>
          <w:sz w:val="24"/>
          <w:highlight w:val="none"/>
          <w:lang w:val="zh-TW" w:bidi="ar"/>
        </w:rPr>
      </w:r>
      <w:r/>
    </w:p>
    <w:p>
      <w:pPr>
        <w:pStyle w:val="825"/>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 w:val="24"/>
          <w:highlight w:val="none"/>
          <w:lang w:bidi="ar"/>
        </w:rPr>
      </w:r>
      <w:r/>
    </w:p>
    <w:p>
      <w:pPr>
        <w:pStyle w:val="825"/>
        <w:spacing w:line="360" w:lineRule="auto"/>
        <w:rPr>
          <w:rFonts w:hint="eastAsia" w:ascii="宋体" w:hAnsi="宋体"/>
          <w:b/>
          <w:bCs/>
          <w:sz w:val="24"/>
          <w:highlight w:val="none"/>
        </w:rPr>
      </w:pPr>
      <w:r/>
      <w:bookmarkStart w:id="23" w:name="_Toc28359008"/>
      <w:r/>
      <w:bookmarkStart w:id="24" w:name="_Toc28359085"/>
      <w:r/>
      <w:bookmarkStart w:id="25" w:name="_Toc35393796"/>
      <w:r/>
      <w:bookmarkStart w:id="26" w:name="_Toc35393627"/>
      <w:r>
        <w:rPr>
          <w:rFonts w:hint="eastAsia" w:ascii="宋体" w:hAnsi="宋体"/>
          <w:b/>
          <w:bCs/>
          <w:sz w:val="24"/>
          <w:highlight w:val="none"/>
        </w:rPr>
        <w:t xml:space="preserve">八、对本项目提出询问，请按以下方式联系。</w:t>
      </w:r>
      <w:bookmarkEnd w:id="23"/>
      <w:r/>
      <w:bookmarkEnd w:id="24"/>
      <w:r/>
      <w:bookmarkEnd w:id="25"/>
      <w:r/>
      <w:bookmarkEnd w:id="26"/>
      <w:r>
        <w:rPr>
          <w:rFonts w:hint="eastAsia" w:ascii="宋体" w:hAnsi="宋体"/>
          <w:b/>
          <w:bCs/>
          <w:sz w:val="24"/>
          <w:highlight w:val="none"/>
        </w:rPr>
      </w:r>
      <w:r/>
    </w:p>
    <w:p>
      <w:pPr>
        <w:pStyle w:val="825"/>
        <w:ind w:firstLine="482"/>
        <w:jc w:val="left"/>
        <w:spacing w:line="360" w:lineRule="auto"/>
        <w:widowControl/>
        <w:rPr>
          <w:rFonts w:hint="eastAsia" w:ascii="宋体" w:hAnsi="宋体" w:cs="宋体"/>
          <w:b/>
          <w:bCs/>
          <w:sz w:val="24"/>
          <w:highlight w:val="none"/>
          <w:lang w:val="zh-TW" w:bidi="ar"/>
        </w:rPr>
      </w:pPr>
      <w:r>
        <w:rPr>
          <w:rFonts w:hint="eastAsia" w:ascii="宋体" w:hAnsi="宋体" w:cs="宋体"/>
          <w:b/>
          <w:bCs/>
          <w:sz w:val="24"/>
          <w:highlight w:val="none"/>
          <w:lang w:val="zh-TW" w:bidi="ar"/>
        </w:rPr>
        <w:t xml:space="preserve">1.采购人信息</w:t>
      </w:r>
      <w:r>
        <w:rPr>
          <w:rFonts w:hint="eastAsia" w:ascii="宋体" w:hAnsi="宋体" w:cs="宋体"/>
          <w:b/>
          <w:bCs/>
          <w:sz w:val="24"/>
          <w:highlight w:val="none"/>
          <w:lang w:val="zh-TW" w:bidi="ar"/>
        </w:rPr>
      </w:r>
      <w:r/>
    </w:p>
    <w:p>
      <w:pPr>
        <w:pStyle w:val="825"/>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名    称：</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eastAsia="zh-CN" w:bidi="ar"/>
        </w:rPr>
        <w:t xml:space="preserve">江苏常州滨江经济开发区管理委员</w:t>
      </w:r>
      <w:r>
        <w:rPr>
          <w:rFonts w:hint="eastAsia" w:ascii="宋体" w:hAnsi="宋体" w:cs="宋体"/>
          <w:sz w:val="24"/>
          <w:highlight w:val="none"/>
          <w:u w:val="single"/>
          <w:lang w:val="en-US" w:eastAsia="zh-CN" w:bidi="ar"/>
        </w:rPr>
        <w:t xml:space="preserve">会</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825"/>
        <w:ind w:firstLine="480"/>
        <w:jc w:val="left"/>
        <w:spacing w:line="360" w:lineRule="auto"/>
        <w:widowControl/>
        <w:rPr>
          <w:rFonts w:ascii="宋体" w:hAnsi="宋体" w:cs="宋体"/>
          <w:sz w:val="24"/>
          <w:highlight w:val="none"/>
          <w:u w:val="single"/>
          <w:lang w:bidi="ar"/>
        </w:rPr>
      </w:pPr>
      <w:r>
        <w:rPr>
          <w:rFonts w:hint="eastAsia" w:ascii="宋体" w:hAnsi="宋体" w:cs="宋体"/>
          <w:sz w:val="24"/>
          <w:highlight w:val="none"/>
          <w:lang w:val="zh-TW" w:bidi="ar"/>
        </w:rPr>
        <w:t xml:space="preserve">地    址：</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bidi="ar"/>
        </w:rPr>
        <w:t xml:space="preserve">常州市新北区东海路常州滨江国际企业港1号楼 </w:t>
      </w:r>
      <w:r>
        <w:rPr>
          <w:rFonts w:ascii="宋体" w:hAnsi="宋体" w:cs="宋体"/>
          <w:sz w:val="24"/>
          <w:highlight w:val="none"/>
          <w:u w:val="single"/>
          <w:lang w:bidi="ar"/>
        </w:rPr>
      </w:r>
      <w:r/>
    </w:p>
    <w:p>
      <w:pPr>
        <w:pStyle w:val="825"/>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联系方式：</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en-US" w:eastAsia="zh-CN" w:bidi="ar"/>
        </w:rPr>
        <w:t xml:space="preserve">罗先生 0519-81591069</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825"/>
        <w:ind w:firstLine="482"/>
        <w:jc w:val="left"/>
        <w:spacing w:line="360" w:lineRule="auto"/>
        <w:widowControl/>
        <w:rPr>
          <w:rFonts w:hint="eastAsia" w:ascii="宋体" w:hAnsi="宋体" w:cs="宋体"/>
          <w:b/>
          <w:bCs/>
          <w:sz w:val="24"/>
          <w:highlight w:val="none"/>
          <w:lang w:val="zh-TW" w:bidi="ar"/>
        </w:rPr>
      </w:pPr>
      <w:r>
        <w:rPr>
          <w:rFonts w:hint="eastAsia" w:ascii="宋体" w:hAnsi="宋体" w:cs="宋体"/>
          <w:b/>
          <w:bCs/>
          <w:sz w:val="24"/>
          <w:highlight w:val="none"/>
          <w:lang w:val="zh-TW" w:bidi="ar"/>
        </w:rPr>
        <w:t xml:space="preserve">2.采购代理机构信息</w:t>
      </w:r>
      <w:r>
        <w:rPr>
          <w:rFonts w:hint="eastAsia" w:ascii="宋体" w:hAnsi="宋体" w:cs="宋体"/>
          <w:b/>
          <w:bCs/>
          <w:sz w:val="24"/>
          <w:highlight w:val="none"/>
          <w:lang w:val="zh-TW" w:bidi="ar"/>
        </w:rPr>
      </w:r>
      <w:r/>
    </w:p>
    <w:p>
      <w:pPr>
        <w:pStyle w:val="825"/>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名    称：</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zh-TW" w:eastAsia="zh-CN" w:bidi="ar"/>
        </w:rPr>
        <w:t xml:space="preserve">常州承宇工程顾问有限公司</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825"/>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地    址：</w:t>
      </w:r>
      <w:r>
        <w:rPr>
          <w:rFonts w:hint="eastAsia" w:ascii="宋体" w:hAnsi="宋体" w:cs="宋体"/>
          <w:sz w:val="24"/>
          <w:highlight w:val="none"/>
          <w:u w:val="single"/>
          <w:lang w:val="zh-TW" w:bidi="ar"/>
        </w:rPr>
        <w:t xml:space="preserve"> 常州市新北区太湖中路18号5楼</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825"/>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联系方式：</w:t>
      </w:r>
      <w:r>
        <w:rPr>
          <w:rFonts w:hint="eastAsia" w:ascii="宋体" w:hAnsi="宋体" w:cs="宋体"/>
          <w:sz w:val="24"/>
          <w:highlight w:val="none"/>
          <w:u w:val="single"/>
          <w:lang w:val="zh-TW" w:bidi="ar"/>
        </w:rPr>
        <w:t xml:space="preserve"> 0519-81009985</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825"/>
        <w:ind w:firstLine="482"/>
        <w:jc w:val="left"/>
        <w:spacing w:line="360" w:lineRule="auto"/>
        <w:widowControl/>
        <w:rPr>
          <w:rFonts w:hint="eastAsia" w:ascii="宋体" w:hAnsi="宋体" w:cs="宋体"/>
          <w:b/>
          <w:bCs/>
          <w:sz w:val="24"/>
          <w:highlight w:val="none"/>
          <w:lang w:val="zh-TW" w:bidi="ar"/>
        </w:rPr>
      </w:pPr>
      <w:r>
        <w:rPr>
          <w:rFonts w:hint="eastAsia" w:ascii="宋体" w:hAnsi="宋体" w:cs="宋体"/>
          <w:b/>
          <w:bCs/>
          <w:sz w:val="24"/>
          <w:highlight w:val="none"/>
          <w:lang w:val="zh-TW" w:bidi="ar"/>
        </w:rPr>
        <w:t xml:space="preserve">3.项目联系方式</w:t>
      </w:r>
      <w:r>
        <w:rPr>
          <w:rFonts w:hint="eastAsia" w:ascii="宋体" w:hAnsi="宋体" w:cs="宋体"/>
          <w:b/>
          <w:bCs/>
          <w:sz w:val="24"/>
          <w:highlight w:val="none"/>
          <w:lang w:val="zh-TW" w:bidi="ar"/>
        </w:rPr>
      </w:r>
      <w:r/>
    </w:p>
    <w:p>
      <w:pPr>
        <w:pStyle w:val="825"/>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项目联系人：</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en-US" w:eastAsia="zh-CN" w:bidi="ar"/>
        </w:rPr>
        <w:t xml:space="preserve">龚先生</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825"/>
        <w:ind w:firstLine="480"/>
        <w:jc w:val="left"/>
        <w:spacing w:line="360" w:lineRule="auto"/>
        <w:rPr>
          <w:sz w:val="24"/>
          <w:highlight w:val="none"/>
        </w:rPr>
      </w:pPr>
      <w:r>
        <w:rPr>
          <w:rFonts w:hint="eastAsia" w:ascii="宋体" w:hAnsi="宋体" w:cs="宋体"/>
          <w:sz w:val="24"/>
          <w:highlight w:val="none"/>
          <w:lang w:val="zh-TW" w:bidi="ar"/>
        </w:rPr>
        <w:t xml:space="preserve">电      话：</w:t>
      </w:r>
      <w:r>
        <w:rPr>
          <w:rFonts w:hint="eastAsia" w:ascii="宋体" w:hAnsi="宋体" w:cs="宋体"/>
          <w:sz w:val="24"/>
          <w:highlight w:val="none"/>
          <w:u w:val="single"/>
          <w:lang w:val="zh-TW" w:bidi="ar"/>
        </w:rPr>
        <w:t xml:space="preserve"> 0519-81009985</w:t>
      </w:r>
      <w:r>
        <w:rPr>
          <w:rFonts w:hint="eastAsia" w:ascii="宋体" w:hAnsi="宋体" w:cs="宋体"/>
          <w:sz w:val="24"/>
          <w:highlight w:val="none"/>
          <w:u w:val="single"/>
          <w:lang w:bidi="ar"/>
        </w:rPr>
        <w:t xml:space="preserve"> </w:t>
      </w:r>
      <w:r>
        <w:rPr>
          <w:sz w:val="24"/>
          <w:highlight w:val="none"/>
        </w:rPr>
      </w:r>
      <w:r/>
    </w:p>
    <w:p>
      <w:pPr>
        <w:pStyle w:val="825"/>
        <w:ind w:firstLine="480"/>
        <w:jc w:val="both"/>
        <w:spacing w:line="360" w:lineRule="auto"/>
        <w:rPr>
          <w:b/>
          <w:sz w:val="32"/>
          <w:szCs w:val="32"/>
          <w:highlight w:val="none"/>
        </w:rPr>
        <w:outlineLvl w:val="0"/>
      </w:pPr>
      <w:r>
        <w:rPr>
          <w:rFonts w:hint="eastAsia"/>
          <w:sz w:val="24"/>
          <w:highlight w:val="none"/>
          <w:lang w:val="en-US" w:eastAsia="zh-CN"/>
        </w:rPr>
        <w:t xml:space="preserve">注：</w:t>
      </w:r>
      <w:r>
        <w:rPr>
          <w:rFonts w:hint="eastAsia"/>
          <w:sz w:val="24"/>
          <w:highlight w:val="none"/>
          <w:shd w:val="clear" w:color="auto" w:fill="auto"/>
          <w:lang w:val="en-US" w:eastAsia="zh-CN"/>
        </w:rPr>
        <w:t xml:space="preserve">以上信息由于工作需要经本人或机构同意对外公布</w:t>
      </w:r>
      <w:r>
        <w:rPr>
          <w:sz w:val="24"/>
          <w:highlight w:val="none"/>
        </w:rPr>
        <w:br w:type="page" w:clear="all"/>
      </w:r>
      <w:bookmarkStart w:id="27" w:name="_Toc195842950"/>
      <w:r/>
      <w:bookmarkStart w:id="28" w:name="_Toc127161488"/>
      <w:r/>
      <w:bookmarkStart w:id="29" w:name="_Toc265228423"/>
      <w:r/>
      <w:bookmarkStart w:id="30" w:name="_Toc150774783"/>
      <w:r/>
      <w:bookmarkStart w:id="31" w:name="_Toc99301420"/>
      <w:r/>
      <w:bookmarkStart w:id="32" w:name="_Toc226965856"/>
      <w:r/>
      <w:bookmarkStart w:id="33" w:name="_Toc353873938"/>
      <w:r/>
      <w:bookmarkStart w:id="34" w:name="_Toc264969275"/>
      <w:r/>
      <w:bookmarkStart w:id="35" w:name="_Toc512937850"/>
      <w:r/>
      <w:bookmarkStart w:id="36" w:name="_Toc353825548"/>
      <w:r/>
      <w:bookmarkStart w:id="37" w:name="_Toc127151777"/>
      <w:r/>
      <w:bookmarkStart w:id="38" w:name="_Toc305158854"/>
      <w:r/>
      <w:bookmarkStart w:id="39" w:name="_Toc305158928"/>
      <w:r>
        <w:rPr>
          <w:b/>
          <w:sz w:val="36"/>
          <w:szCs w:val="36"/>
          <w:highlight w:val="none"/>
        </w:rPr>
        <w:t xml:space="preserve">第二章   投标人须知</w:t>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rPr>
          <w:b/>
          <w:sz w:val="32"/>
          <w:szCs w:val="32"/>
          <w:highlight w:val="none"/>
        </w:rPr>
      </w:r>
      <w:r/>
    </w:p>
    <w:p>
      <w:pPr>
        <w:pStyle w:val="827"/>
        <w:spacing w:before="0" w:line="360" w:lineRule="auto"/>
        <w:tabs>
          <w:tab w:val="center" w:pos="4592" w:leader="none"/>
          <w:tab w:val="left" w:pos="7860" w:leader="none"/>
        </w:tabs>
        <w:rPr>
          <w:rFonts w:ascii="Times New Roman" w:hAnsi="Times New Roman" w:eastAsia="宋体"/>
          <w:sz w:val="28"/>
          <w:highlight w:val="none"/>
        </w:rPr>
      </w:pPr>
      <w:r/>
      <w:bookmarkStart w:id="40" w:name="_Toc151193907"/>
      <w:r/>
      <w:bookmarkStart w:id="41" w:name="_Toc195842884"/>
      <w:r/>
      <w:bookmarkStart w:id="42" w:name="_Toc150480757"/>
      <w:r/>
      <w:bookmarkStart w:id="43" w:name="_Toc226965792"/>
      <w:r/>
      <w:bookmarkStart w:id="44" w:name="_Toc142311021"/>
      <w:r/>
      <w:bookmarkStart w:id="45" w:name="_Toc520356144"/>
      <w:r/>
      <w:bookmarkStart w:id="46" w:name="_Toc164608633"/>
      <w:r/>
      <w:bookmarkStart w:id="47" w:name="_Toc150509270"/>
      <w:r/>
      <w:bookmarkStart w:id="48" w:name="_Toc151193761"/>
      <w:r/>
      <w:bookmarkStart w:id="49" w:name="_Toc151193617"/>
      <w:r/>
      <w:bookmarkStart w:id="50" w:name="_Toc226965709"/>
      <w:r/>
      <w:bookmarkStart w:id="51" w:name="_Toc150774724"/>
      <w:r/>
      <w:bookmarkStart w:id="52" w:name="_Toc164351613"/>
      <w:r/>
      <w:bookmarkStart w:id="53" w:name="_Toc226337215"/>
      <w:r/>
      <w:bookmarkStart w:id="54" w:name="_Toc164608788"/>
      <w:r/>
      <w:bookmarkStart w:id="55" w:name="_Toc164229214"/>
      <w:r/>
      <w:bookmarkStart w:id="56" w:name="_Toc127151720"/>
      <w:r/>
      <w:bookmarkStart w:id="57" w:name="_Toc149720812"/>
      <w:r/>
      <w:bookmarkStart w:id="58" w:name="_Toc151193689"/>
      <w:r/>
      <w:bookmarkStart w:id="59" w:name="_Toc151193833"/>
      <w:r/>
      <w:bookmarkStart w:id="60" w:name="_Toc226309763"/>
      <w:r/>
      <w:bookmarkStart w:id="61" w:name="_Toc150774619"/>
      <w:r/>
      <w:bookmarkStart w:id="62" w:name="_Toc127151519"/>
      <w:r/>
      <w:bookmarkStart w:id="63" w:name="_Toc151190146"/>
      <w:r/>
      <w:bookmarkStart w:id="64" w:name="_Toc127161433"/>
      <w:r/>
      <w:bookmarkStart w:id="65" w:name="_Toc164229360"/>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825"/>
        <w:jc w:val="center"/>
        <w:rPr>
          <w:b/>
          <w:sz w:val="28"/>
          <w:szCs w:val="28"/>
          <w:highlight w:val="none"/>
        </w:rPr>
      </w:pPr>
      <w:r>
        <w:rPr>
          <w:b/>
          <w:sz w:val="28"/>
          <w:szCs w:val="28"/>
          <w:highlight w:val="none"/>
        </w:rPr>
      </w:r>
      <w:r/>
    </w:p>
    <w:p>
      <w:pPr>
        <w:pStyle w:val="825"/>
        <w:ind w:firstLine="480"/>
        <w:spacing w:line="360" w:lineRule="auto"/>
        <w:rPr>
          <w:sz w:val="24"/>
          <w:highlight w:val="none"/>
        </w:rPr>
      </w:pPr>
      <w:r>
        <w:rPr>
          <w:sz w:val="24"/>
          <w:highlight w:val="none"/>
        </w:rPr>
        <w:t xml:space="preserve">本表是对投标人须知的具体补充和修改，如有矛盾，均以本资料表为准。</w:t>
      </w:r>
      <w:r>
        <w:rPr>
          <w:rFonts w:hint="eastAsia" w:ascii="宋体" w:hAnsi="宋体" w:cs="宋体"/>
          <w:sz w:val="24"/>
          <w:highlight w:val="none"/>
          <w:lang w:val="zh-TW" w:bidi="ar"/>
        </w:rPr>
        <w:t xml:space="preserve">标记“■”的选项意为适用于本项目，标记“□”的选项意为不适用于本项目。</w:t>
      </w:r>
      <w:r>
        <w:rPr>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825"/>
              <w:jc w:val="center"/>
              <w:rPr>
                <w:rFonts w:hint="eastAsia" w:ascii="宋体" w:hAnsi="宋体" w:cs="宋体"/>
                <w:b/>
                <w:bCs/>
                <w:sz w:val="24"/>
                <w:highlight w:val="none"/>
              </w:rPr>
            </w:pPr>
            <w:r>
              <w:rPr>
                <w:rFonts w:hint="eastAsia" w:ascii="宋体" w:hAnsi="宋体" w:cs="宋体"/>
                <w:b/>
                <w:sz w:val="24"/>
                <w:highlight w:val="none"/>
              </w:rPr>
              <w:t xml:space="preserve">条款号</w:t>
            </w:r>
            <w:r>
              <w:rPr>
                <w:rFonts w:hint="eastAsia" w:ascii="宋体" w:hAnsi="宋体" w:cs="宋体"/>
                <w:b/>
                <w:bCs/>
                <w:sz w:val="24"/>
                <w:highlight w:val="none"/>
              </w:rPr>
            </w:r>
            <w:r/>
          </w:p>
        </w:tc>
        <w:tc>
          <w:tcPr>
            <w:tcW w:w="1701" w:type="dxa"/>
            <w:vAlign w:val="center"/>
            <w:textDirection w:val="lrTb"/>
            <w:noWrap w:val="false"/>
          </w:tcPr>
          <w:p>
            <w:pPr>
              <w:pStyle w:val="825"/>
              <w:jc w:val="center"/>
              <w:rPr>
                <w:rFonts w:hint="eastAsia" w:ascii="宋体" w:hAnsi="宋体" w:cs="宋体"/>
                <w:b/>
                <w:bCs/>
                <w:sz w:val="24"/>
                <w:highlight w:val="none"/>
              </w:rPr>
            </w:pPr>
            <w:r>
              <w:rPr>
                <w:rFonts w:hint="eastAsia" w:ascii="宋体" w:hAnsi="宋体" w:cs="宋体"/>
                <w:b/>
                <w:bCs/>
                <w:sz w:val="24"/>
                <w:highlight w:val="none"/>
              </w:rPr>
              <w:t xml:space="preserve">条目</w:t>
            </w:r>
            <w:r>
              <w:rPr>
                <w:rFonts w:hint="eastAsia" w:ascii="宋体" w:hAnsi="宋体" w:cs="宋体"/>
                <w:b/>
                <w:bCs/>
                <w:sz w:val="24"/>
                <w:highlight w:val="none"/>
              </w:rPr>
            </w:r>
            <w:r/>
          </w:p>
        </w:tc>
        <w:tc>
          <w:tcPr>
            <w:tcW w:w="7253" w:type="dxa"/>
            <w:vAlign w:val="center"/>
            <w:textDirection w:val="lrTb"/>
            <w:noWrap w:val="false"/>
          </w:tcPr>
          <w:p>
            <w:pPr>
              <w:pStyle w:val="825"/>
              <w:jc w:val="center"/>
              <w:rPr>
                <w:rFonts w:hint="eastAsia" w:ascii="宋体" w:hAnsi="宋体" w:cs="宋体"/>
                <w:b/>
                <w:bCs/>
                <w:sz w:val="24"/>
                <w:highlight w:val="none"/>
              </w:rPr>
            </w:pPr>
            <w:r>
              <w:rPr>
                <w:rFonts w:hint="eastAsia" w:ascii="宋体" w:hAnsi="宋体" w:cs="宋体"/>
                <w:b/>
                <w:bCs/>
                <w:sz w:val="24"/>
                <w:highlight w:val="none"/>
              </w:rPr>
              <w:t xml:space="preserve">内容</w:t>
            </w:r>
            <w:r>
              <w:rPr>
                <w:rFonts w:hint="eastAsia" w:ascii="宋体" w:hAnsi="宋体" w:cs="宋体"/>
                <w:b/>
                <w:bCs/>
                <w:sz w:val="24"/>
                <w:highlight w:val="none"/>
              </w:rPr>
            </w:r>
            <w:r/>
          </w:p>
        </w:tc>
      </w:tr>
      <w:tr>
        <w:trPr>
          <w:trHeight w:val="20"/>
        </w:trPr>
        <w:tc>
          <w:tcPr>
            <w:tcW w:w="988" w:type="dxa"/>
            <w:vAlign w:val="center"/>
            <w:textDirection w:val="lrTb"/>
            <w:noWrap w:val="false"/>
          </w:tcPr>
          <w:p>
            <w:pPr>
              <w:pStyle w:val="864"/>
              <w:jc w:val="center"/>
              <w:rPr>
                <w:rFonts w:hAnsi="宋体" w:cs="宋体"/>
                <w:sz w:val="24"/>
                <w:szCs w:val="24"/>
                <w:highlight w:val="none"/>
              </w:rPr>
            </w:pPr>
            <w:r>
              <w:rPr>
                <w:rFonts w:hAnsi="宋体" w:cs="宋体"/>
                <w:sz w:val="24"/>
                <w:szCs w:val="24"/>
                <w:highlight w:val="none"/>
              </w:rPr>
              <w:t xml:space="preserve">2.2</w:t>
            </w:r>
            <w:r>
              <w:rPr>
                <w:rFonts w:hAnsi="宋体" w:cs="宋体"/>
                <w:sz w:val="24"/>
                <w:szCs w:val="24"/>
                <w:highlight w:val="none"/>
              </w:rPr>
            </w:r>
            <w:r/>
          </w:p>
        </w:tc>
        <w:tc>
          <w:tcPr>
            <w:tcW w:w="1701" w:type="dxa"/>
            <w:vAlign w:val="center"/>
            <w:textDirection w:val="lrTb"/>
            <w:noWrap w:val="false"/>
          </w:tcPr>
          <w:p>
            <w:pPr>
              <w:pStyle w:val="825"/>
              <w:jc w:val="center"/>
              <w:rPr>
                <w:rFonts w:hint="eastAsia" w:ascii="宋体" w:hAnsi="宋体" w:cs="宋体"/>
                <w:sz w:val="24"/>
                <w:highlight w:val="none"/>
              </w:rPr>
            </w:pPr>
            <w:r>
              <w:rPr>
                <w:rFonts w:hint="eastAsia" w:ascii="宋体" w:hAnsi="宋体" w:cs="宋体"/>
                <w:sz w:val="24"/>
                <w:highlight w:val="none"/>
              </w:rPr>
              <w:t xml:space="preserve">项目属性</w:t>
            </w:r>
            <w:r>
              <w:rPr>
                <w:rFonts w:hint="eastAsia" w:ascii="宋体" w:hAnsi="宋体" w:cs="宋体"/>
                <w:sz w:val="24"/>
                <w:highlight w:val="none"/>
              </w:rPr>
            </w:r>
            <w:r/>
          </w:p>
        </w:tc>
        <w:tc>
          <w:tcPr>
            <w:tcW w:w="7253" w:type="dxa"/>
            <w:vAlign w:val="center"/>
            <w:textDirection w:val="lrTb"/>
            <w:noWrap w:val="false"/>
          </w:tcPr>
          <w:p>
            <w:pPr>
              <w:pStyle w:val="825"/>
              <w:jc w:val="left"/>
              <w:rPr>
                <w:rFonts w:hint="eastAsia" w:ascii="宋体" w:hAnsi="宋体" w:cs="宋体"/>
                <w:sz w:val="24"/>
                <w:highlight w:val="none"/>
              </w:rPr>
            </w:pPr>
            <w:r>
              <w:rPr>
                <w:rFonts w:hint="eastAsia" w:ascii="宋体" w:hAnsi="宋体" w:cs="宋体"/>
                <w:sz w:val="24"/>
                <w:highlight w:val="none"/>
              </w:rPr>
              <w:t xml:space="preserve">项目属性：</w:t>
            </w:r>
            <w:r>
              <w:rPr>
                <w:rFonts w:hint="eastAsia" w:ascii="宋体" w:hAnsi="宋体" w:cs="宋体"/>
                <w:sz w:val="24"/>
                <w:highlight w:val="none"/>
              </w:rPr>
            </w:r>
            <w:r/>
          </w:p>
          <w:p>
            <w:pPr>
              <w:pStyle w:val="825"/>
              <w:jc w:val="lef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服务</w:t>
            </w:r>
            <w:r>
              <w:rPr>
                <w:rFonts w:hint="eastAsia" w:ascii="宋体" w:hAnsi="宋体" w:cs="宋体"/>
                <w:sz w:val="24"/>
                <w:highlight w:val="none"/>
              </w:rPr>
            </w:r>
            <w:r/>
          </w:p>
          <w:p>
            <w:pPr>
              <w:pStyle w:val="825"/>
              <w:jc w:val="lef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货物</w:t>
            </w:r>
            <w:r>
              <w:rPr>
                <w:rFonts w:hint="eastAsia" w:ascii="宋体" w:hAnsi="宋体" w:cs="宋体"/>
                <w:sz w:val="24"/>
                <w:highlight w:val="none"/>
              </w:rPr>
            </w:r>
            <w:r/>
          </w:p>
          <w:p>
            <w:pPr>
              <w:pStyle w:val="825"/>
              <w:jc w:val="left"/>
              <w:rPr>
                <w:rFonts w:hint="eastAsia" w:ascii="宋体" w:hAnsi="宋体" w:cs="宋体"/>
                <w:sz w:val="24"/>
                <w:highlight w:val="none"/>
                <w:u w:val="single"/>
              </w:rPr>
            </w:pPr>
            <w:r>
              <w:rPr>
                <w:rFonts w:hint="eastAsia" w:ascii="宋体" w:hAnsi="宋体" w:cs="宋体"/>
                <w:sz w:val="24"/>
                <w:highlight w:val="none"/>
              </w:rPr>
              <w:t xml:space="preserve">工程</w:t>
            </w:r>
            <w:r>
              <w:rPr>
                <w:rFonts w:hint="eastAsia" w:ascii="宋体" w:hAnsi="宋体" w:cs="宋体"/>
                <w:sz w:val="24"/>
                <w:highlight w:val="none"/>
                <w:u w:val="single"/>
              </w:rPr>
            </w:r>
            <w:r/>
          </w:p>
        </w:tc>
      </w:tr>
      <w:tr>
        <w:trPr>
          <w:trHeight w:val="636"/>
        </w:trPr>
        <w:tc>
          <w:tcPr>
            <w:tcW w:w="988" w:type="dxa"/>
            <w:vAlign w:val="center"/>
            <w:textDirection w:val="lrTb"/>
            <w:noWrap w:val="false"/>
          </w:tcPr>
          <w:p>
            <w:pPr>
              <w:pStyle w:val="864"/>
              <w:jc w:val="center"/>
              <w:rPr>
                <w:rFonts w:hAnsi="宋体" w:eastAsia="宋体" w:cs="宋体"/>
                <w:sz w:val="24"/>
                <w:szCs w:val="24"/>
                <w:highlight w:val="none"/>
                <w:lang w:val="en-US" w:eastAsia="zh-CN"/>
              </w:rPr>
            </w:pPr>
            <w:r>
              <w:rPr>
                <w:rFonts w:hint="eastAsia" w:hAnsi="宋体" w:cs="宋体"/>
                <w:sz w:val="24"/>
                <w:szCs w:val="24"/>
                <w:highlight w:val="none"/>
                <w:lang w:val="en-US" w:eastAsia="zh-CN"/>
              </w:rPr>
              <w:t xml:space="preserve">2.3</w:t>
            </w:r>
            <w:r>
              <w:rPr>
                <w:rFonts w:hAnsi="宋体" w:eastAsia="宋体" w:cs="宋体"/>
                <w:sz w:val="24"/>
                <w:szCs w:val="24"/>
                <w:highlight w:val="none"/>
                <w:lang w:val="en-US" w:eastAsia="zh-CN"/>
              </w:rPr>
            </w:r>
            <w:r/>
          </w:p>
        </w:tc>
        <w:tc>
          <w:tcPr>
            <w:tcW w:w="1701" w:type="dxa"/>
            <w:vAlign w:val="center"/>
            <w:textDirection w:val="lrTb"/>
            <w:noWrap w:val="false"/>
          </w:tcPr>
          <w:p>
            <w:pPr>
              <w:pStyle w:val="825"/>
              <w:jc w:val="center"/>
              <w:rPr>
                <w:rFonts w:hint="eastAsia" w:ascii="宋体" w:hAnsi="宋体" w:cs="宋体"/>
                <w:sz w:val="24"/>
                <w:highlight w:val="none"/>
              </w:rPr>
            </w:pPr>
            <w:r>
              <w:rPr>
                <w:rFonts w:ascii="宋体" w:hAnsi="宋体" w:eastAsia="宋体" w:cs="宋体"/>
                <w:sz w:val="24"/>
                <w:szCs w:val="24"/>
                <w:highlight w:val="none"/>
              </w:rPr>
              <w:t xml:space="preserve">科研仪器设备</w:t>
            </w:r>
            <w:r>
              <w:rPr>
                <w:rFonts w:hint="eastAsia" w:ascii="宋体" w:hAnsi="宋体" w:cs="宋体"/>
                <w:sz w:val="24"/>
                <w:highlight w:val="none"/>
              </w:rPr>
            </w:r>
            <w:r/>
          </w:p>
        </w:tc>
        <w:tc>
          <w:tcPr>
            <w:tcW w:w="7253" w:type="dxa"/>
            <w:vAlign w:val="center"/>
            <w:textDirection w:val="lrTb"/>
            <w:noWrap w:val="false"/>
          </w:tcPr>
          <w:p>
            <w:pPr>
              <w:pStyle w:val="825"/>
              <w:jc w:val="left"/>
              <w:rPr>
                <w:rFonts w:ascii="宋体" w:hAnsi="宋体" w:eastAsia="宋体" w:cs="宋体"/>
                <w:sz w:val="24"/>
                <w:szCs w:val="24"/>
                <w:highlight w:val="none"/>
              </w:rPr>
            </w:pPr>
            <w:r>
              <w:rPr>
                <w:rFonts w:ascii="宋体" w:hAnsi="宋体" w:eastAsia="宋体" w:cs="宋体"/>
                <w:sz w:val="24"/>
                <w:szCs w:val="24"/>
                <w:highlight w:val="none"/>
              </w:rPr>
              <w:t xml:space="preserve">是否属于科研仪器设备采购项目：</w:t>
            </w:r>
            <w:r>
              <w:rPr>
                <w:rFonts w:ascii="宋体" w:hAnsi="宋体" w:eastAsia="宋体" w:cs="宋体"/>
                <w:sz w:val="24"/>
                <w:szCs w:val="24"/>
                <w:highlight w:val="none"/>
              </w:rPr>
            </w:r>
            <w:r/>
          </w:p>
          <w:p>
            <w:pPr>
              <w:pStyle w:val="825"/>
              <w:jc w:val="left"/>
              <w:rPr>
                <w:rFonts w:hint="eastAsia" w:ascii="宋体" w:hAnsi="宋体" w:eastAsia="宋体" w:cs="宋体"/>
                <w:sz w:val="24"/>
                <w:highlight w:val="none"/>
                <w:lang w:eastAsia="zh-CN"/>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是</w:t>
            </w:r>
            <w:r>
              <w:rPr>
                <w:rFonts w:hint="eastAsia" w:ascii="宋体" w:hAnsi="宋体" w:eastAsia="宋体" w:cs="宋体"/>
                <w:sz w:val="24"/>
                <w:highlight w:val="none"/>
                <w:lang w:eastAsia="zh-CN"/>
              </w:rPr>
            </w:r>
            <w:r/>
          </w:p>
          <w:p>
            <w:pPr>
              <w:pStyle w:val="825"/>
              <w:jc w:val="left"/>
              <w:rPr>
                <w:rFonts w:hint="eastAsia" w:ascii="宋体" w:hAnsi="宋体" w:eastAsia="宋体" w:cs="宋体"/>
                <w:sz w:val="24"/>
                <w:highlight w:val="none"/>
                <w:lang w:eastAsia="zh-CN"/>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否</w:t>
            </w:r>
            <w:r>
              <w:rPr>
                <w:rFonts w:hint="eastAsia" w:ascii="宋体" w:hAnsi="宋体" w:eastAsia="宋体" w:cs="宋体"/>
                <w:sz w:val="24"/>
                <w:highlight w:val="none"/>
                <w:lang w:eastAsia="zh-CN"/>
              </w:rPr>
            </w:r>
            <w:r/>
          </w:p>
        </w:tc>
      </w:tr>
      <w:tr>
        <w:trPr>
          <w:trHeight w:val="20"/>
        </w:trPr>
        <w:tc>
          <w:tcPr>
            <w:tcW w:w="988" w:type="dxa"/>
            <w:vAlign w:val="center"/>
            <w:vMerge w:val="restart"/>
            <w:textDirection w:val="lrTb"/>
            <w:noWrap w:val="false"/>
          </w:tcPr>
          <w:p>
            <w:pPr>
              <w:pStyle w:val="864"/>
              <w:jc w:val="center"/>
              <w:rPr>
                <w:rFonts w:hAnsi="宋体" w:cs="宋体"/>
                <w:sz w:val="24"/>
                <w:szCs w:val="24"/>
                <w:highlight w:val="none"/>
              </w:rPr>
            </w:pPr>
            <w:r>
              <w:rPr>
                <w:rFonts w:hAnsi="宋体" w:cs="宋体"/>
                <w:sz w:val="24"/>
                <w:szCs w:val="24"/>
                <w:highlight w:val="none"/>
              </w:rPr>
              <w:t xml:space="preserve">3.1</w:t>
            </w:r>
            <w:r>
              <w:rPr>
                <w:rFonts w:hAnsi="宋体" w:cs="宋体"/>
                <w:sz w:val="24"/>
                <w:szCs w:val="24"/>
                <w:highlight w:val="none"/>
              </w:rPr>
            </w:r>
            <w:r/>
          </w:p>
        </w:tc>
        <w:tc>
          <w:tcPr>
            <w:tcW w:w="1701" w:type="dxa"/>
            <w:vAlign w:val="center"/>
            <w:textDirection w:val="lrTb"/>
            <w:noWrap w:val="false"/>
          </w:tcPr>
          <w:p>
            <w:pPr>
              <w:pStyle w:val="825"/>
              <w:jc w:val="center"/>
              <w:rPr>
                <w:rFonts w:hint="eastAsia" w:ascii="宋体" w:hAnsi="宋体" w:cs="宋体"/>
                <w:sz w:val="24"/>
                <w:highlight w:val="none"/>
              </w:rPr>
            </w:pPr>
            <w:r>
              <w:rPr>
                <w:rFonts w:hint="eastAsia" w:ascii="宋体" w:hAnsi="宋体" w:cs="宋体"/>
                <w:sz w:val="24"/>
                <w:highlight w:val="none"/>
              </w:rPr>
              <w:t xml:space="preserve">现场考察</w:t>
            </w:r>
            <w:r>
              <w:rPr>
                <w:rFonts w:hint="eastAsia" w:ascii="宋体" w:hAnsi="宋体" w:cs="宋体"/>
                <w:sz w:val="24"/>
                <w:highlight w:val="none"/>
              </w:rPr>
            </w:r>
            <w:r/>
          </w:p>
        </w:tc>
        <w:tc>
          <w:tcPr>
            <w:tcW w:w="7253" w:type="dxa"/>
            <w:vAlign w:val="center"/>
            <w:textDirection w:val="lrTb"/>
            <w:noWrap w:val="false"/>
          </w:tcPr>
          <w:p>
            <w:pPr>
              <w:pStyle w:val="825"/>
              <w:jc w:val="left"/>
              <w:rPr>
                <w:rFonts w:hint="eastAsia" w:ascii="宋体" w:hAnsi="宋体" w:cs="宋体"/>
                <w:sz w:val="24"/>
                <w:highlight w:val="none"/>
              </w:rPr>
            </w:pPr>
            <w:r>
              <w:rPr>
                <w:rFonts w:hint="eastAsia" w:ascii="宋体" w:hAnsi="宋体" w:cs="宋体"/>
                <w:sz w:val="24"/>
                <w:highlight w:val="none"/>
              </w:rPr>
              <w:t xml:space="preserve">■不组织</w:t>
            </w:r>
            <w:r>
              <w:rPr>
                <w:rFonts w:hint="eastAsia" w:ascii="宋体" w:hAnsi="宋体" w:cs="宋体"/>
                <w:sz w:val="24"/>
                <w:highlight w:val="none"/>
              </w:rPr>
            </w:r>
            <w:r/>
          </w:p>
          <w:p>
            <w:pPr>
              <w:pStyle w:val="825"/>
              <w:jc w:val="left"/>
              <w:rPr>
                <w:rFonts w:hint="eastAsia" w:ascii="宋体" w:hAnsi="宋体" w:cs="宋体"/>
                <w:bCs/>
                <w:sz w:val="24"/>
                <w:highlight w:val="none"/>
              </w:rPr>
            </w:pPr>
            <w:r>
              <w:rPr>
                <w:rFonts w:hint="eastAsia" w:ascii="宋体" w:hAnsi="宋体" w:cs="宋体"/>
                <w:sz w:val="24"/>
                <w:highlight w:val="none"/>
              </w:rPr>
              <w:t xml:space="preserve">□组织，考察时间：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分</w:t>
            </w:r>
            <w:r>
              <w:rPr>
                <w:rFonts w:hint="eastAsia" w:ascii="宋体" w:hAnsi="宋体" w:cs="宋体"/>
                <w:bCs/>
                <w:sz w:val="24"/>
                <w:highlight w:val="none"/>
              </w:rPr>
            </w:r>
            <w:r/>
          </w:p>
          <w:p>
            <w:pPr>
              <w:pStyle w:val="864"/>
              <w:rPr>
                <w:rFonts w:hAnsi="宋体" w:cs="宋体"/>
                <w:sz w:val="24"/>
                <w:szCs w:val="24"/>
                <w:highlight w:val="none"/>
              </w:rPr>
            </w:pPr>
            <w:r>
              <w:rPr>
                <w:rFonts w:hAnsi="宋体" w:cs="宋体"/>
                <w:sz w:val="24"/>
                <w:szCs w:val="24"/>
                <w:highlight w:val="none"/>
              </w:rPr>
              <w:t xml:space="preserve">考察地点：</w:t>
            </w:r>
            <w:r>
              <w:rPr>
                <w:rFonts w:hAnsi="宋体" w:cs="宋体"/>
                <w:sz w:val="24"/>
                <w:szCs w:val="24"/>
                <w:highlight w:val="none"/>
                <w:u w:val="single"/>
              </w:rPr>
              <w:t xml:space="preserve">  /  </w:t>
            </w:r>
            <w:r>
              <w:rPr>
                <w:rFonts w:hAnsi="宋体" w:cs="宋体"/>
                <w:sz w:val="24"/>
                <w:szCs w:val="24"/>
                <w:highlight w:val="none"/>
              </w:rPr>
              <w:t xml:space="preserve">。</w:t>
            </w:r>
            <w:r>
              <w:rPr>
                <w:rFonts w:hAnsi="宋体" w:cs="宋体"/>
                <w:sz w:val="24"/>
                <w:szCs w:val="24"/>
                <w:highlight w:val="none"/>
              </w:rPr>
            </w:r>
            <w:r/>
          </w:p>
        </w:tc>
      </w:tr>
      <w:tr>
        <w:trPr>
          <w:trHeight w:val="20"/>
        </w:trPr>
        <w:tc>
          <w:tcPr>
            <w:tcW w:w="988" w:type="dxa"/>
            <w:vAlign w:val="center"/>
            <w:vMerge w:val="continue"/>
            <w:textDirection w:val="lrTb"/>
            <w:noWrap w:val="false"/>
          </w:tcPr>
          <w:p>
            <w:pPr>
              <w:pStyle w:val="864"/>
              <w:jc w:val="center"/>
              <w:rPr>
                <w:rFonts w:hAnsi="宋体" w:cs="宋体"/>
                <w:sz w:val="24"/>
                <w:szCs w:val="24"/>
                <w:highlight w:val="none"/>
              </w:rPr>
            </w:pPr>
            <w:r>
              <w:rPr>
                <w:rFonts w:hAnsi="宋体" w:cs="宋体"/>
                <w:sz w:val="24"/>
                <w:szCs w:val="24"/>
                <w:highlight w:val="none"/>
              </w:rPr>
            </w:r>
            <w:r/>
          </w:p>
        </w:tc>
        <w:tc>
          <w:tcPr>
            <w:tcW w:w="1701" w:type="dxa"/>
            <w:vAlign w:val="center"/>
            <w:textDirection w:val="lrTb"/>
            <w:noWrap w:val="false"/>
          </w:tcPr>
          <w:p>
            <w:pPr>
              <w:pStyle w:val="825"/>
              <w:jc w:val="center"/>
              <w:rPr>
                <w:rFonts w:hint="eastAsia" w:ascii="宋体" w:hAnsi="宋体" w:cs="宋体"/>
                <w:sz w:val="24"/>
                <w:highlight w:val="none"/>
              </w:rPr>
            </w:pPr>
            <w:r>
              <w:rPr>
                <w:rFonts w:hint="eastAsia" w:ascii="宋体" w:hAnsi="宋体" w:cs="宋体"/>
                <w:sz w:val="24"/>
                <w:highlight w:val="none"/>
                <w:lang w:val="en-US" w:eastAsia="zh-CN"/>
              </w:rPr>
              <w:t xml:space="preserve">开标</w:t>
            </w:r>
            <w:r>
              <w:rPr>
                <w:rFonts w:hint="eastAsia" w:ascii="宋体" w:hAnsi="宋体" w:cs="宋体"/>
                <w:sz w:val="24"/>
                <w:highlight w:val="none"/>
              </w:rPr>
              <w:t xml:space="preserve">前答疑会</w:t>
            </w:r>
            <w:r>
              <w:rPr>
                <w:rFonts w:hint="eastAsia" w:ascii="宋体" w:hAnsi="宋体" w:cs="宋体"/>
                <w:sz w:val="24"/>
                <w:highlight w:val="none"/>
              </w:rPr>
            </w:r>
            <w:r/>
          </w:p>
        </w:tc>
        <w:tc>
          <w:tcPr>
            <w:tcW w:w="7253" w:type="dxa"/>
            <w:vAlign w:val="center"/>
            <w:textDirection w:val="lrTb"/>
            <w:noWrap w:val="false"/>
          </w:tcPr>
          <w:p>
            <w:pPr>
              <w:pStyle w:val="825"/>
              <w:jc w:val="left"/>
              <w:rPr>
                <w:rFonts w:hint="eastAsia" w:ascii="宋体" w:hAnsi="宋体" w:cs="宋体"/>
                <w:sz w:val="24"/>
                <w:highlight w:val="none"/>
              </w:rPr>
            </w:pPr>
            <w:r>
              <w:rPr>
                <w:rFonts w:hint="eastAsia" w:ascii="宋体" w:hAnsi="宋体" w:cs="宋体"/>
                <w:sz w:val="24"/>
                <w:highlight w:val="none"/>
              </w:rPr>
              <w:t xml:space="preserve">■不召开</w:t>
            </w:r>
            <w:r>
              <w:rPr>
                <w:rFonts w:hint="eastAsia" w:ascii="宋体" w:hAnsi="宋体" w:cs="宋体"/>
                <w:sz w:val="24"/>
                <w:highlight w:val="none"/>
              </w:rPr>
            </w:r>
            <w:r/>
          </w:p>
          <w:p>
            <w:pPr>
              <w:pStyle w:val="825"/>
              <w:jc w:val="left"/>
              <w:rPr>
                <w:rFonts w:hint="eastAsia" w:ascii="宋体" w:hAnsi="宋体" w:cs="宋体"/>
                <w:sz w:val="24"/>
                <w:highlight w:val="none"/>
              </w:rPr>
            </w:pPr>
            <w:r>
              <w:rPr>
                <w:rFonts w:hint="eastAsia" w:ascii="宋体" w:hAnsi="宋体" w:cs="宋体"/>
                <w:sz w:val="24"/>
                <w:highlight w:val="none"/>
              </w:rPr>
              <w:t xml:space="preserve">□召开，召开时间：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分</w:t>
            </w:r>
            <w:r>
              <w:rPr>
                <w:rFonts w:hint="eastAsia" w:ascii="宋体" w:hAnsi="宋体" w:cs="宋体"/>
                <w:sz w:val="24"/>
                <w:highlight w:val="none"/>
              </w:rPr>
            </w:r>
            <w:r/>
          </w:p>
          <w:p>
            <w:pPr>
              <w:pStyle w:val="825"/>
              <w:jc w:val="left"/>
              <w:rPr>
                <w:rFonts w:hint="eastAsia" w:ascii="宋体" w:hAnsi="宋体" w:cs="宋体"/>
                <w:sz w:val="24"/>
                <w:highlight w:val="none"/>
              </w:rPr>
            </w:pPr>
            <w:r>
              <w:rPr>
                <w:rFonts w:hint="eastAsia" w:ascii="宋体" w:hAnsi="宋体" w:cs="宋体"/>
                <w:sz w:val="24"/>
                <w:highlight w:val="none"/>
              </w:rPr>
              <w:t xml:space="preserve">召开地点：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tc>
      </w:tr>
      <w:tr>
        <w:trPr>
          <w:trHeight w:val="1535"/>
        </w:trPr>
        <w:tc>
          <w:tcPr>
            <w:tcW w:w="988" w:type="dxa"/>
            <w:vAlign w:val="center"/>
            <w:textDirection w:val="lrTb"/>
            <w:noWrap w:val="false"/>
          </w:tcPr>
          <w:p>
            <w:pPr>
              <w:pStyle w:val="864"/>
              <w:jc w:val="center"/>
              <w:rPr>
                <w:rFonts w:hAnsi="宋体" w:cs="宋体"/>
                <w:sz w:val="24"/>
                <w:szCs w:val="24"/>
                <w:highlight w:val="none"/>
              </w:rPr>
            </w:pPr>
            <w:r>
              <w:rPr>
                <w:rFonts w:hAnsi="宋体" w:cs="宋体"/>
                <w:sz w:val="24"/>
                <w:szCs w:val="24"/>
                <w:highlight w:val="none"/>
              </w:rPr>
              <w:t xml:space="preserve">4.2.5</w:t>
            </w:r>
            <w:r>
              <w:rPr>
                <w:rFonts w:hAnsi="宋体" w:cs="宋体"/>
                <w:sz w:val="24"/>
                <w:szCs w:val="24"/>
                <w:highlight w:val="none"/>
              </w:rPr>
            </w:r>
            <w:r/>
          </w:p>
        </w:tc>
        <w:tc>
          <w:tcPr>
            <w:tcW w:w="1701" w:type="dxa"/>
            <w:vAlign w:val="center"/>
            <w:textDirection w:val="lrTb"/>
            <w:noWrap w:val="false"/>
          </w:tcPr>
          <w:p>
            <w:pPr>
              <w:pStyle w:val="825"/>
              <w:jc w:val="center"/>
              <w:rPr>
                <w:rFonts w:hint="eastAsia" w:ascii="宋体" w:hAnsi="宋体" w:cs="宋体"/>
                <w:sz w:val="24"/>
                <w:highlight w:val="none"/>
              </w:rPr>
            </w:pPr>
            <w:r>
              <w:rPr>
                <w:rFonts w:hint="eastAsia" w:ascii="宋体" w:hAnsi="宋体" w:cs="宋体"/>
                <w:sz w:val="24"/>
                <w:highlight w:val="none"/>
              </w:rPr>
              <w:t xml:space="preserve">标的所属行业</w:t>
            </w:r>
            <w:r>
              <w:rPr>
                <w:rFonts w:hint="eastAsia" w:ascii="宋体" w:hAnsi="宋体" w:cs="宋体"/>
                <w:sz w:val="24"/>
                <w:highlight w:val="none"/>
              </w:rPr>
            </w:r>
            <w:r/>
          </w:p>
        </w:tc>
        <w:tc>
          <w:tcPr>
            <w:tcW w:w="7253" w:type="dxa"/>
            <w:vAlign w:val="center"/>
            <w:textDirection w:val="lrTb"/>
            <w:noWrap w:val="false"/>
          </w:tcPr>
          <w:p>
            <w:pPr>
              <w:pStyle w:val="825"/>
              <w:jc w:val="left"/>
              <w:rPr>
                <w:rFonts w:hint="eastAsia"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ascii="宋体" w:hAnsi="宋体" w:cs="宋体"/>
                <w:sz w:val="24"/>
                <w:highlight w:val="none"/>
                <w:u w:val="single"/>
              </w:rPr>
              <w:t xml:space="preserve"> 其他未列明行业 </w:t>
            </w:r>
            <w:r>
              <w:rPr>
                <w:rFonts w:hint="eastAsia" w:ascii="宋体" w:hAnsi="宋体" w:cs="宋体"/>
                <w:sz w:val="24"/>
                <w:highlight w:val="none"/>
              </w:rPr>
            </w:r>
            <w:r/>
          </w:p>
        </w:tc>
      </w:tr>
      <w:tr>
        <w:trPr>
          <w:trHeight w:val="890"/>
        </w:trPr>
        <w:tc>
          <w:tcPr>
            <w:tcW w:w="988" w:type="dxa"/>
            <w:vAlign w:val="center"/>
            <w:textDirection w:val="lrTb"/>
            <w:noWrap w:val="false"/>
          </w:tcPr>
          <w:p>
            <w:pPr>
              <w:pStyle w:val="864"/>
              <w:jc w:val="center"/>
              <w:rPr>
                <w:rFonts w:hAnsi="宋体" w:cs="宋体"/>
                <w:sz w:val="24"/>
                <w:szCs w:val="24"/>
                <w:highlight w:val="none"/>
              </w:rPr>
            </w:pPr>
            <w:r>
              <w:rPr>
                <w:rFonts w:hAnsi="宋体" w:cs="宋体"/>
                <w:sz w:val="24"/>
                <w:szCs w:val="24"/>
                <w:highlight w:val="none"/>
              </w:rPr>
              <w:t xml:space="preserve">10.2</w:t>
            </w:r>
            <w:r>
              <w:rPr>
                <w:rFonts w:hAnsi="宋体" w:cs="宋体"/>
                <w:sz w:val="24"/>
                <w:szCs w:val="24"/>
                <w:highlight w:val="none"/>
              </w:rPr>
            </w:r>
            <w:r/>
          </w:p>
        </w:tc>
        <w:tc>
          <w:tcPr>
            <w:tcW w:w="1701" w:type="dxa"/>
            <w:vAlign w:val="center"/>
            <w:textDirection w:val="lrTb"/>
            <w:noWrap w:val="false"/>
          </w:tcPr>
          <w:p>
            <w:pPr>
              <w:pStyle w:val="825"/>
              <w:jc w:val="center"/>
              <w:rPr>
                <w:rFonts w:hint="eastAsia" w:ascii="宋体" w:hAnsi="宋体" w:cs="宋体"/>
                <w:sz w:val="24"/>
                <w:highlight w:val="none"/>
              </w:rPr>
            </w:pPr>
            <w:r>
              <w:rPr>
                <w:rFonts w:hint="eastAsia" w:ascii="宋体" w:hAnsi="宋体" w:cs="宋体"/>
                <w:sz w:val="24"/>
                <w:highlight w:val="none"/>
              </w:rPr>
              <w:t xml:space="preserve">报价</w:t>
            </w:r>
            <w:r>
              <w:rPr>
                <w:rFonts w:hint="eastAsia" w:ascii="宋体" w:hAnsi="宋体" w:cs="宋体"/>
                <w:sz w:val="24"/>
                <w:highlight w:val="none"/>
              </w:rPr>
            </w:r>
            <w:r/>
          </w:p>
        </w:tc>
        <w:tc>
          <w:tcPr>
            <w:tcW w:w="7253" w:type="dxa"/>
            <w:vAlign w:val="center"/>
            <w:textDirection w:val="lrTb"/>
            <w:noWrap w:val="false"/>
          </w:tcPr>
          <w:p>
            <w:pPr>
              <w:pStyle w:val="825"/>
              <w:jc w:val="left"/>
              <w:rPr>
                <w:rFonts w:hint="eastAsia" w:ascii="宋体" w:hAnsi="宋体" w:cs="宋体"/>
                <w:sz w:val="24"/>
                <w:highlight w:val="none"/>
              </w:rPr>
            </w:pPr>
            <w:r>
              <w:rPr>
                <w:rFonts w:hint="eastAsia" w:ascii="宋体" w:hAnsi="宋体" w:cs="宋体"/>
                <w:sz w:val="24"/>
                <w:highlight w:val="none"/>
              </w:rPr>
              <w:t xml:space="preserve">报价的特殊规定：</w:t>
            </w:r>
            <w:r>
              <w:rPr>
                <w:rFonts w:hint="eastAsia" w:ascii="宋体" w:hAnsi="宋体" w:cs="宋体"/>
                <w:sz w:val="24"/>
                <w:highlight w:val="none"/>
              </w:rPr>
            </w:r>
            <w:r/>
          </w:p>
          <w:p>
            <w:pPr>
              <w:pStyle w:val="825"/>
              <w:jc w:val="left"/>
              <w:rPr>
                <w:rFonts w:hint="eastAsia" w:ascii="宋体" w:hAnsi="宋体" w:cs="宋体"/>
                <w:sz w:val="24"/>
                <w:highlight w:val="none"/>
              </w:rPr>
            </w:pPr>
            <w:r>
              <w:rPr>
                <w:rFonts w:hint="eastAsia" w:ascii="宋体" w:hAnsi="宋体" w:cs="宋体"/>
                <w:sz w:val="24"/>
                <w:highlight w:val="none"/>
              </w:rPr>
              <w:t xml:space="preserve">■无</w:t>
            </w:r>
            <w:r>
              <w:rPr>
                <w:rFonts w:hint="eastAsia" w:ascii="宋体" w:hAnsi="宋体" w:cs="宋体"/>
                <w:sz w:val="24"/>
                <w:highlight w:val="none"/>
              </w:rPr>
            </w:r>
            <w:r/>
          </w:p>
          <w:p>
            <w:pPr>
              <w:pStyle w:val="825"/>
              <w:jc w:val="left"/>
              <w:rPr>
                <w:rFonts w:hint="eastAsia" w:ascii="宋体" w:hAnsi="宋体" w:cs="宋体"/>
                <w:sz w:val="24"/>
                <w:highlight w:val="none"/>
              </w:rPr>
            </w:pPr>
            <w:r>
              <w:rPr>
                <w:rFonts w:hint="eastAsia" w:ascii="宋体" w:hAnsi="宋体" w:cs="宋体"/>
                <w:sz w:val="24"/>
                <w:highlight w:val="none"/>
              </w:rPr>
              <w:t xml:space="preserve">□有，具体情形：</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tc>
      </w:tr>
      <w:tr>
        <w:trPr>
          <w:trHeight w:val="20"/>
        </w:trPr>
        <w:tc>
          <w:tcPr>
            <w:tcW w:w="988" w:type="dxa"/>
            <w:vAlign w:val="center"/>
            <w:textDirection w:val="lrTb"/>
            <w:noWrap w:val="false"/>
          </w:tcPr>
          <w:p>
            <w:pPr>
              <w:pStyle w:val="864"/>
              <w:jc w:val="center"/>
              <w:rPr>
                <w:rFonts w:hAnsi="宋体" w:cs="宋体"/>
                <w:sz w:val="24"/>
                <w:szCs w:val="24"/>
                <w:highlight w:val="none"/>
              </w:rPr>
            </w:pPr>
            <w:r>
              <w:rPr>
                <w:rFonts w:hAnsi="宋体" w:cs="宋体"/>
                <w:sz w:val="24"/>
                <w:szCs w:val="24"/>
                <w:highlight w:val="none"/>
              </w:rPr>
              <w:t xml:space="preserve">11.1</w:t>
            </w:r>
            <w:r>
              <w:rPr>
                <w:rFonts w:hAnsi="宋体" w:cs="宋体"/>
                <w:sz w:val="24"/>
                <w:szCs w:val="24"/>
                <w:highlight w:val="none"/>
              </w:rPr>
            </w:r>
            <w:r/>
          </w:p>
        </w:tc>
        <w:tc>
          <w:tcPr>
            <w:tcW w:w="1701" w:type="dxa"/>
            <w:vAlign w:val="center"/>
            <w:textDirection w:val="lrTb"/>
            <w:noWrap w:val="false"/>
          </w:tcPr>
          <w:p>
            <w:pPr>
              <w:pStyle w:val="825"/>
              <w:jc w:val="center"/>
              <w:rPr>
                <w:rFonts w:hint="eastAsia" w:ascii="宋体" w:hAnsi="宋体" w:cs="宋体"/>
                <w:sz w:val="24"/>
                <w:highlight w:val="none"/>
              </w:rPr>
            </w:pP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保证金</w:t>
            </w:r>
            <w:r>
              <w:rPr>
                <w:rFonts w:hint="eastAsia" w:ascii="宋体" w:hAnsi="宋体" w:cs="宋体"/>
                <w:sz w:val="24"/>
                <w:highlight w:val="none"/>
              </w:rPr>
            </w:r>
            <w:r/>
          </w:p>
        </w:tc>
        <w:tc>
          <w:tcPr>
            <w:tcW w:w="7253" w:type="dxa"/>
            <w:vAlign w:val="center"/>
            <w:textDirection w:val="lrTb"/>
            <w:noWrap w:val="false"/>
          </w:tcPr>
          <w:p>
            <w:pPr>
              <w:pStyle w:val="825"/>
              <w:jc w:val="left"/>
              <w:rPr>
                <w:rFonts w:hint="eastAsia" w:ascii="宋体" w:hAnsi="宋体" w:cs="宋体"/>
                <w:sz w:val="24"/>
                <w:highlight w:val="none"/>
              </w:rPr>
            </w:pPr>
            <w:r>
              <w:rPr>
                <w:rFonts w:hint="eastAsia" w:ascii="宋体" w:hAnsi="宋体" w:cs="宋体"/>
                <w:sz w:val="24"/>
                <w:highlight w:val="none"/>
              </w:rPr>
              <w:t xml:space="preserve">免收</w:t>
            </w:r>
            <w:r>
              <w:rPr>
                <w:rFonts w:hint="eastAsia" w:ascii="宋体" w:hAnsi="宋体" w:cs="宋体"/>
                <w:sz w:val="24"/>
                <w:highlight w:val="none"/>
              </w:rPr>
            </w:r>
            <w:r/>
          </w:p>
        </w:tc>
      </w:tr>
      <w:tr>
        <w:trPr>
          <w:trHeight w:val="20"/>
        </w:trPr>
        <w:tc>
          <w:tcPr>
            <w:tcW w:w="988" w:type="dxa"/>
            <w:vAlign w:val="center"/>
            <w:textDirection w:val="lrTb"/>
            <w:noWrap w:val="false"/>
          </w:tcPr>
          <w:p>
            <w:pPr>
              <w:pStyle w:val="864"/>
              <w:jc w:val="center"/>
              <w:rPr>
                <w:rFonts w:hAnsi="宋体" w:cs="宋体"/>
                <w:sz w:val="24"/>
                <w:szCs w:val="24"/>
                <w:highlight w:val="none"/>
              </w:rPr>
            </w:pPr>
            <w:r>
              <w:rPr>
                <w:rFonts w:hAnsi="宋体" w:cs="宋体"/>
                <w:sz w:val="24"/>
                <w:szCs w:val="24"/>
                <w:highlight w:val="none"/>
              </w:rPr>
              <w:t xml:space="preserve">12.1</w:t>
            </w:r>
            <w:r>
              <w:rPr>
                <w:rFonts w:hAnsi="宋体" w:cs="宋体"/>
                <w:sz w:val="24"/>
                <w:szCs w:val="24"/>
                <w:highlight w:val="none"/>
              </w:rPr>
            </w:r>
            <w:r/>
          </w:p>
        </w:tc>
        <w:tc>
          <w:tcPr>
            <w:tcW w:w="1701" w:type="dxa"/>
            <w:vAlign w:val="center"/>
            <w:textDirection w:val="lrTb"/>
            <w:noWrap w:val="false"/>
          </w:tcPr>
          <w:p>
            <w:pPr>
              <w:pStyle w:val="825"/>
              <w:jc w:val="center"/>
              <w:rPr>
                <w:rFonts w:hint="eastAsia" w:ascii="宋体" w:hAnsi="宋体" w:cs="宋体"/>
                <w:sz w:val="24"/>
                <w:highlight w:val="none"/>
              </w:rPr>
            </w:pPr>
            <w:r>
              <w:rPr>
                <w:rFonts w:hint="eastAsia" w:ascii="宋体" w:hAnsi="宋体" w:cs="宋体"/>
                <w:sz w:val="24"/>
                <w:highlight w:val="none"/>
              </w:rPr>
              <w:t xml:space="preserve">响应有效期</w:t>
            </w:r>
            <w:r>
              <w:rPr>
                <w:rFonts w:hint="eastAsia" w:ascii="宋体" w:hAnsi="宋体" w:cs="宋体"/>
                <w:sz w:val="24"/>
                <w:highlight w:val="none"/>
              </w:rPr>
            </w:r>
            <w:r/>
          </w:p>
        </w:tc>
        <w:tc>
          <w:tcPr>
            <w:tcW w:w="7253" w:type="dxa"/>
            <w:vAlign w:val="center"/>
            <w:textDirection w:val="lrTb"/>
            <w:noWrap w:val="false"/>
          </w:tcPr>
          <w:p>
            <w:pPr>
              <w:pStyle w:val="825"/>
              <w:jc w:val="left"/>
              <w:rPr>
                <w:rFonts w:hint="eastAsia" w:ascii="宋体" w:hAnsi="宋体" w:cs="宋体"/>
                <w:sz w:val="24"/>
                <w:highlight w:val="none"/>
              </w:rPr>
            </w:pPr>
            <w:r>
              <w:rPr>
                <w:rFonts w:hint="eastAsia" w:ascii="宋体" w:hAnsi="宋体" w:cs="宋体"/>
                <w:sz w:val="24"/>
                <w:highlight w:val="none"/>
              </w:rPr>
              <w:t xml:space="preserve">自提交响应文件的截止之日起算</w:t>
            </w:r>
            <w:r>
              <w:rPr>
                <w:rFonts w:hint="eastAsia" w:ascii="宋体" w:hAnsi="宋体" w:cs="宋体"/>
                <w:sz w:val="24"/>
                <w:highlight w:val="none"/>
                <w:u w:val="single"/>
              </w:rPr>
              <w:t xml:space="preserve"> 60 </w:t>
            </w:r>
            <w:r>
              <w:rPr>
                <w:rFonts w:hint="eastAsia" w:ascii="宋体" w:hAnsi="宋体" w:cs="宋体"/>
                <w:sz w:val="24"/>
                <w:highlight w:val="none"/>
              </w:rPr>
              <w:t xml:space="preserve">日历天。</w:t>
            </w:r>
            <w:r>
              <w:rPr>
                <w:rFonts w:hint="eastAsia" w:ascii="宋体" w:hAnsi="宋体" w:cs="宋体"/>
                <w:sz w:val="24"/>
                <w:highlight w:val="none"/>
              </w:rPr>
            </w:r>
            <w:r/>
          </w:p>
        </w:tc>
      </w:tr>
      <w:tr>
        <w:trPr>
          <w:trHeight w:val="20"/>
        </w:trPr>
        <w:tc>
          <w:tcPr>
            <w:tcW w:w="988" w:type="dxa"/>
            <w:vAlign w:val="center"/>
            <w:textDirection w:val="lrTb"/>
            <w:noWrap w:val="false"/>
          </w:tcPr>
          <w:p>
            <w:pPr>
              <w:pStyle w:val="864"/>
              <w:jc w:val="center"/>
              <w:rPr>
                <w:rFonts w:hAnsi="宋体" w:cs="宋体"/>
                <w:sz w:val="24"/>
                <w:szCs w:val="24"/>
                <w:highlight w:val="none"/>
              </w:rPr>
            </w:pPr>
            <w:r>
              <w:rPr>
                <w:rFonts w:hAnsi="宋体" w:cs="宋体"/>
                <w:sz w:val="24"/>
                <w:szCs w:val="24"/>
                <w:highlight w:val="none"/>
              </w:rPr>
              <w:t xml:space="preserve">23.5</w:t>
            </w:r>
            <w:r>
              <w:rPr>
                <w:rFonts w:hAnsi="宋体" w:cs="宋体"/>
                <w:sz w:val="24"/>
                <w:szCs w:val="24"/>
                <w:highlight w:val="none"/>
              </w:rPr>
            </w:r>
            <w:r/>
          </w:p>
        </w:tc>
        <w:tc>
          <w:tcPr>
            <w:tcW w:w="1701" w:type="dxa"/>
            <w:vAlign w:val="center"/>
            <w:textDirection w:val="lrTb"/>
            <w:noWrap w:val="false"/>
          </w:tcPr>
          <w:p>
            <w:pPr>
              <w:pStyle w:val="825"/>
              <w:jc w:val="center"/>
              <w:rPr>
                <w:rFonts w:hint="eastAsia" w:ascii="宋体" w:hAnsi="宋体" w:cs="宋体"/>
                <w:sz w:val="24"/>
                <w:highlight w:val="none"/>
              </w:rPr>
            </w:pPr>
            <w:r>
              <w:rPr>
                <w:rFonts w:hint="eastAsia" w:ascii="宋体" w:hAnsi="宋体" w:cs="宋体"/>
                <w:sz w:val="24"/>
                <w:highlight w:val="none"/>
              </w:rPr>
              <w:t xml:space="preserve">分包</w:t>
            </w:r>
            <w:r>
              <w:rPr>
                <w:rFonts w:hint="eastAsia" w:ascii="宋体" w:hAnsi="宋体" w:cs="宋体"/>
                <w:sz w:val="24"/>
                <w:highlight w:val="none"/>
              </w:rPr>
            </w:r>
            <w:r/>
          </w:p>
        </w:tc>
        <w:tc>
          <w:tcPr>
            <w:tcW w:w="7253" w:type="dxa"/>
            <w:vAlign w:val="center"/>
            <w:textDirection w:val="lrTb"/>
            <w:noWrap w:val="false"/>
          </w:tcPr>
          <w:p>
            <w:pPr>
              <w:pStyle w:val="825"/>
              <w:jc w:val="left"/>
              <w:rPr>
                <w:rFonts w:hint="eastAsia" w:ascii="宋体" w:hAnsi="宋体" w:cs="宋体"/>
                <w:sz w:val="24"/>
                <w:highlight w:val="none"/>
              </w:rPr>
            </w:pPr>
            <w:r>
              <w:rPr>
                <w:rFonts w:hint="eastAsia" w:ascii="宋体" w:hAnsi="宋体" w:cs="宋体"/>
                <w:sz w:val="24"/>
                <w:highlight w:val="none"/>
              </w:rPr>
              <w:t xml:space="preserve">本项目是否允许分包： </w:t>
            </w:r>
            <w:r>
              <w:rPr>
                <w:rFonts w:hint="eastAsia" w:ascii="宋体" w:hAnsi="宋体" w:cs="宋体"/>
                <w:sz w:val="24"/>
                <w:highlight w:val="none"/>
              </w:rPr>
            </w:r>
            <w:r/>
          </w:p>
          <w:p>
            <w:pPr>
              <w:pStyle w:val="825"/>
              <w:jc w:val="left"/>
              <w:rPr>
                <w:rFonts w:hint="eastAsia" w:ascii="宋体" w:hAnsi="宋体" w:cs="宋体"/>
                <w:sz w:val="24"/>
                <w:highlight w:val="none"/>
              </w:rPr>
            </w:pPr>
            <w:r>
              <w:rPr>
                <w:rFonts w:hint="eastAsia" w:ascii="宋体" w:hAnsi="宋体" w:cs="宋体"/>
                <w:sz w:val="24"/>
                <w:highlight w:val="none"/>
              </w:rPr>
              <w:t xml:space="preserve">■不允许</w:t>
            </w:r>
            <w:r>
              <w:rPr>
                <w:rFonts w:hint="eastAsia" w:ascii="宋体" w:hAnsi="宋体" w:cs="宋体"/>
                <w:sz w:val="24"/>
                <w:highlight w:val="none"/>
              </w:rPr>
            </w:r>
            <w:r/>
          </w:p>
          <w:p>
            <w:pPr>
              <w:pStyle w:val="825"/>
              <w:jc w:val="left"/>
              <w:rPr>
                <w:rFonts w:hint="eastAsia" w:ascii="宋体" w:hAnsi="宋体" w:cs="宋体"/>
                <w:sz w:val="24"/>
                <w:highlight w:val="none"/>
              </w:rPr>
            </w:pPr>
            <w:r>
              <w:rPr>
                <w:rFonts w:hint="eastAsia" w:ascii="宋体" w:hAnsi="宋体" w:cs="宋体"/>
                <w:sz w:val="24"/>
                <w:highlight w:val="none"/>
              </w:rPr>
              <w:t xml:space="preserve">□允许，具体要求：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825"/>
              <w:jc w:val="left"/>
              <w:rPr>
                <w:rFonts w:hint="eastAsia" w:ascii="宋体" w:hAnsi="宋体" w:cs="宋体"/>
                <w:sz w:val="24"/>
                <w:highlight w:val="none"/>
              </w:rPr>
            </w:pPr>
            <w:r>
              <w:rPr>
                <w:rFonts w:hint="eastAsia" w:ascii="宋体" w:hAnsi="宋体" w:cs="宋体"/>
                <w:sz w:val="24"/>
                <w:highlight w:val="none"/>
              </w:rPr>
              <w:t xml:space="preserve">（1）可以分包履行的具体内容：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825"/>
              <w:jc w:val="left"/>
              <w:rPr>
                <w:rFonts w:hint="eastAsia" w:ascii="宋体" w:hAnsi="宋体" w:cs="宋体"/>
                <w:sz w:val="24"/>
                <w:highlight w:val="none"/>
              </w:rPr>
            </w:pPr>
            <w:r>
              <w:rPr>
                <w:rFonts w:hint="eastAsia" w:ascii="宋体" w:hAnsi="宋体" w:cs="宋体"/>
                <w:sz w:val="24"/>
                <w:highlight w:val="none"/>
              </w:rPr>
              <w:t xml:space="preserve">（2）允许分包的金额或者比例：</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825"/>
              <w:jc w:val="left"/>
              <w:rPr>
                <w:rFonts w:hint="eastAsia" w:ascii="宋体" w:hAnsi="宋体" w:cs="宋体"/>
                <w:sz w:val="24"/>
                <w:highlight w:val="none"/>
                <w:u w:val="single"/>
              </w:rPr>
            </w:pPr>
            <w:r>
              <w:rPr>
                <w:rFonts w:hint="eastAsia" w:ascii="宋体" w:hAnsi="宋体" w:cs="宋体"/>
                <w:sz w:val="24"/>
                <w:highlight w:val="none"/>
              </w:rPr>
              <w:t xml:space="preserve">（3）其他要求：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u w:val="single"/>
              </w:rPr>
            </w:r>
            <w:r/>
          </w:p>
        </w:tc>
      </w:tr>
      <w:tr>
        <w:trPr>
          <w:trHeight w:val="20"/>
        </w:trPr>
        <w:tc>
          <w:tcPr>
            <w:tcW w:w="988" w:type="dxa"/>
            <w:vAlign w:val="center"/>
            <w:textDirection w:val="lrTb"/>
            <w:noWrap w:val="false"/>
          </w:tcPr>
          <w:p>
            <w:pPr>
              <w:pStyle w:val="864"/>
              <w:jc w:val="center"/>
              <w:rPr>
                <w:rFonts w:hAnsi="宋体" w:cs="宋体"/>
                <w:sz w:val="24"/>
                <w:szCs w:val="24"/>
                <w:highlight w:val="none"/>
              </w:rPr>
            </w:pPr>
            <w:r>
              <w:rPr>
                <w:rFonts w:hAnsi="宋体" w:cs="宋体"/>
                <w:sz w:val="24"/>
                <w:szCs w:val="24"/>
                <w:highlight w:val="none"/>
              </w:rPr>
              <w:t xml:space="preserve">24.1.1</w:t>
            </w:r>
            <w:r>
              <w:rPr>
                <w:rFonts w:hAnsi="宋体" w:cs="宋体"/>
                <w:sz w:val="24"/>
                <w:szCs w:val="24"/>
                <w:highlight w:val="none"/>
              </w:rPr>
            </w:r>
            <w:r/>
          </w:p>
        </w:tc>
        <w:tc>
          <w:tcPr>
            <w:tcW w:w="1701" w:type="dxa"/>
            <w:vAlign w:val="center"/>
            <w:textDirection w:val="lrTb"/>
            <w:noWrap w:val="false"/>
          </w:tcPr>
          <w:p>
            <w:pPr>
              <w:pStyle w:val="825"/>
              <w:jc w:val="center"/>
              <w:rPr>
                <w:rFonts w:hint="eastAsia" w:ascii="宋体" w:hAnsi="宋体" w:cs="宋体"/>
                <w:sz w:val="24"/>
                <w:highlight w:val="none"/>
              </w:rPr>
            </w:pPr>
            <w:r>
              <w:rPr>
                <w:rFonts w:hint="eastAsia" w:ascii="宋体" w:hAnsi="宋体" w:cs="宋体"/>
                <w:sz w:val="24"/>
                <w:highlight w:val="none"/>
              </w:rPr>
              <w:t xml:space="preserve">询问</w:t>
            </w:r>
            <w:r>
              <w:rPr>
                <w:rFonts w:hint="eastAsia" w:ascii="宋体" w:hAnsi="宋体" w:cs="宋体"/>
                <w:sz w:val="24"/>
                <w:highlight w:val="none"/>
              </w:rPr>
            </w:r>
            <w:r/>
          </w:p>
        </w:tc>
        <w:tc>
          <w:tcPr>
            <w:tcW w:w="7253" w:type="dxa"/>
            <w:vAlign w:val="center"/>
            <w:textDirection w:val="lrTb"/>
            <w:noWrap w:val="false"/>
          </w:tcPr>
          <w:p>
            <w:pPr>
              <w:pStyle w:val="825"/>
              <w:jc w:val="left"/>
              <w:rPr>
                <w:rFonts w:hint="eastAsia" w:ascii="宋体" w:hAnsi="宋体" w:cs="宋体"/>
                <w:sz w:val="24"/>
                <w:highlight w:val="none"/>
              </w:rPr>
            </w:pPr>
            <w:r>
              <w:rPr>
                <w:rFonts w:hint="eastAsia" w:ascii="宋体" w:hAnsi="宋体" w:cs="宋体"/>
                <w:sz w:val="24"/>
                <w:highlight w:val="none"/>
              </w:rPr>
              <w:t xml:space="preserve">询问送达形式：</w:t>
            </w:r>
            <w:r>
              <w:rPr>
                <w:rFonts w:hint="eastAsia" w:ascii="宋体" w:hAnsi="宋体" w:cs="宋体"/>
                <w:sz w:val="24"/>
                <w:highlight w:val="none"/>
                <w:u w:val="single"/>
              </w:rPr>
              <w:t xml:space="preserve"> 于</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6</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5</w:t>
            </w:r>
            <w:r>
              <w:rPr>
                <w:rFonts w:hint="eastAsia" w:ascii="宋体" w:hAnsi="宋体" w:cs="宋体"/>
                <w:sz w:val="24"/>
                <w:highlight w:val="none"/>
                <w:u w:val="single"/>
              </w:rPr>
              <w:t xml:space="preserve">日</w:t>
            </w:r>
            <w:r>
              <w:rPr>
                <w:rFonts w:hint="eastAsia" w:ascii="宋体" w:hAnsi="宋体" w:cs="宋体"/>
                <w:sz w:val="24"/>
                <w:highlight w:val="none"/>
                <w:u w:val="single"/>
              </w:rPr>
              <w:t xml:space="preserve">11：00（北京时间）前以书面形式递交至</w:t>
            </w:r>
            <w:r>
              <w:rPr>
                <w:rFonts w:hint="eastAsia" w:ascii="宋体" w:hAnsi="宋体" w:cs="宋体"/>
                <w:sz w:val="24"/>
                <w:highlight w:val="none"/>
                <w:u w:val="single"/>
                <w:lang w:eastAsia="zh-CN"/>
              </w:rPr>
              <w:t xml:space="preserve">常州承宇工程顾问有限公司</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tc>
      </w:tr>
      <w:tr>
        <w:trPr>
          <w:trHeight w:val="20"/>
        </w:trPr>
        <w:tc>
          <w:tcPr>
            <w:tcW w:w="988" w:type="dxa"/>
            <w:vAlign w:val="center"/>
            <w:textDirection w:val="lrTb"/>
            <w:noWrap w:val="false"/>
          </w:tcPr>
          <w:p>
            <w:pPr>
              <w:pStyle w:val="864"/>
              <w:jc w:val="center"/>
              <w:rPr>
                <w:rFonts w:hAnsi="宋体" w:cs="宋体"/>
                <w:sz w:val="24"/>
                <w:szCs w:val="24"/>
                <w:highlight w:val="none"/>
              </w:rPr>
            </w:pPr>
            <w:r>
              <w:rPr>
                <w:rFonts w:hAnsi="宋体" w:cs="宋体"/>
                <w:sz w:val="24"/>
                <w:szCs w:val="24"/>
                <w:highlight w:val="none"/>
              </w:rPr>
              <w:t xml:space="preserve">24.3</w:t>
            </w:r>
            <w:r>
              <w:rPr>
                <w:rFonts w:hAnsi="宋体" w:cs="宋体"/>
                <w:sz w:val="24"/>
                <w:szCs w:val="24"/>
                <w:highlight w:val="none"/>
              </w:rPr>
            </w:r>
            <w:r/>
          </w:p>
        </w:tc>
        <w:tc>
          <w:tcPr>
            <w:tcW w:w="1701" w:type="dxa"/>
            <w:vAlign w:val="center"/>
            <w:textDirection w:val="lrTb"/>
            <w:noWrap w:val="false"/>
          </w:tcPr>
          <w:p>
            <w:pPr>
              <w:pStyle w:val="825"/>
              <w:jc w:val="center"/>
              <w:rPr>
                <w:rFonts w:hint="eastAsia" w:ascii="宋体" w:hAnsi="宋体" w:cs="宋体"/>
                <w:sz w:val="24"/>
                <w:highlight w:val="none"/>
              </w:rPr>
            </w:pPr>
            <w:r>
              <w:rPr>
                <w:rFonts w:hint="eastAsia" w:ascii="宋体" w:hAnsi="宋体" w:cs="宋体"/>
                <w:sz w:val="24"/>
                <w:highlight w:val="none"/>
              </w:rPr>
              <w:t xml:space="preserve">联系方式</w:t>
            </w:r>
            <w:r>
              <w:rPr>
                <w:rFonts w:hint="eastAsia" w:ascii="宋体" w:hAnsi="宋体" w:cs="宋体"/>
                <w:sz w:val="24"/>
                <w:highlight w:val="none"/>
              </w:rPr>
            </w:r>
            <w:r/>
          </w:p>
        </w:tc>
        <w:tc>
          <w:tcPr>
            <w:tcW w:w="7253" w:type="dxa"/>
            <w:vAlign w:val="center"/>
            <w:textDirection w:val="lrTb"/>
            <w:noWrap w:val="false"/>
          </w:tcPr>
          <w:p>
            <w:pPr>
              <w:pStyle w:val="825"/>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rPr>
                <w:rFonts w:hint="eastAsia" w:ascii="宋体" w:hAnsi="宋体" w:cs="宋体"/>
                <w:sz w:val="24"/>
                <w:highlight w:val="none"/>
              </w:rPr>
            </w:r>
            <w:r/>
          </w:p>
          <w:p>
            <w:pPr>
              <w:pStyle w:val="825"/>
              <w:jc w:val="left"/>
              <w:rPr>
                <w:rFonts w:hint="eastAsia"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龚先生</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825"/>
              <w:jc w:val="lef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0519-81009985  </w:t>
            </w:r>
            <w:r>
              <w:rPr>
                <w:rFonts w:hint="eastAsia" w:ascii="宋体" w:hAnsi="宋体" w:cs="宋体"/>
                <w:sz w:val="24"/>
                <w:highlight w:val="none"/>
              </w:rPr>
              <w:t xml:space="preserve">；</w:t>
            </w:r>
            <w:r>
              <w:rPr>
                <w:rFonts w:hint="eastAsia" w:ascii="宋体" w:hAnsi="宋体" w:cs="宋体"/>
                <w:sz w:val="24"/>
                <w:highlight w:val="none"/>
              </w:rPr>
            </w:r>
            <w:r/>
          </w:p>
          <w:p>
            <w:pPr>
              <w:pStyle w:val="825"/>
              <w:jc w:val="left"/>
              <w:rPr>
                <w:rFonts w:hint="eastAsia" w:ascii="宋体" w:hAnsi="宋体" w:eastAsia="宋体" w:cs="宋体"/>
                <w:sz w:val="24"/>
                <w:highlight w:val="none"/>
                <w:lang w:eastAsia="zh-CN"/>
              </w:rPr>
            </w:pPr>
            <w:r>
              <w:rPr>
                <w:rFonts w:hint="eastAsia" w:ascii="宋体" w:hAnsi="宋体" w:cs="宋体"/>
                <w:sz w:val="24"/>
                <w:highlight w:val="none"/>
              </w:rPr>
              <w:t xml:space="preserve">通讯地址：</w:t>
            </w:r>
            <w:r>
              <w:rPr>
                <w:rFonts w:hint="eastAsia" w:ascii="宋体" w:hAnsi="宋体" w:cs="宋体"/>
                <w:sz w:val="24"/>
                <w:highlight w:val="none"/>
                <w:u w:val="single"/>
              </w:rPr>
              <w:t xml:space="preserve">  常州市新北区太湖中路18号5楼  </w:t>
            </w:r>
            <w:r>
              <w:rPr>
                <w:rFonts w:hint="eastAsia" w:ascii="宋体" w:hAnsi="宋体" w:cs="宋体"/>
                <w:sz w:val="24"/>
                <w:highlight w:val="none"/>
                <w:u w:val="none"/>
                <w:lang w:eastAsia="zh-CN"/>
              </w:rPr>
              <w:t xml:space="preserve">。</w:t>
            </w:r>
            <w:r>
              <w:rPr>
                <w:rFonts w:hint="eastAsia" w:ascii="宋体" w:hAnsi="宋体" w:eastAsia="宋体" w:cs="宋体"/>
                <w:sz w:val="24"/>
                <w:highlight w:val="none"/>
                <w:lang w:eastAsia="zh-CN"/>
              </w:rPr>
            </w:r>
            <w:r/>
          </w:p>
        </w:tc>
      </w:tr>
      <w:tr>
        <w:trPr>
          <w:trHeight w:val="20"/>
        </w:trPr>
        <w:tc>
          <w:tcPr>
            <w:tcW w:w="988" w:type="dxa"/>
            <w:vAlign w:val="center"/>
            <w:textDirection w:val="lrTb"/>
            <w:noWrap w:val="false"/>
          </w:tcPr>
          <w:p>
            <w:pPr>
              <w:pStyle w:val="864"/>
              <w:jc w:val="center"/>
              <w:rPr>
                <w:rFonts w:hAnsi="宋体" w:cs="宋体"/>
                <w:sz w:val="24"/>
                <w:szCs w:val="24"/>
                <w:highlight w:val="none"/>
              </w:rPr>
            </w:pPr>
            <w:r>
              <w:rPr>
                <w:rFonts w:hAnsi="宋体" w:cs="宋体"/>
                <w:sz w:val="24"/>
                <w:szCs w:val="24"/>
                <w:highlight w:val="none"/>
              </w:rPr>
              <w:t xml:space="preserve">25</w:t>
            </w:r>
            <w:r>
              <w:rPr>
                <w:rFonts w:hAnsi="宋体" w:cs="宋体"/>
                <w:sz w:val="24"/>
                <w:szCs w:val="24"/>
                <w:highlight w:val="none"/>
              </w:rPr>
            </w:r>
            <w:r/>
          </w:p>
        </w:tc>
        <w:tc>
          <w:tcPr>
            <w:tcW w:w="1701" w:type="dxa"/>
            <w:vAlign w:val="center"/>
            <w:textDirection w:val="lrTb"/>
            <w:noWrap w:val="false"/>
          </w:tcPr>
          <w:p>
            <w:pPr>
              <w:pStyle w:val="825"/>
              <w:jc w:val="center"/>
              <w:rPr>
                <w:rFonts w:hint="eastAsia" w:ascii="宋体" w:hAnsi="宋体" w:cs="宋体"/>
                <w:sz w:val="24"/>
                <w:highlight w:val="none"/>
              </w:rPr>
            </w:pPr>
            <w:r>
              <w:rPr>
                <w:rFonts w:hint="eastAsia" w:ascii="宋体" w:hAnsi="宋体" w:cs="宋体"/>
                <w:sz w:val="24"/>
                <w:highlight w:val="none"/>
              </w:rPr>
              <w:t xml:space="preserve">代理费</w:t>
            </w:r>
            <w:r>
              <w:rPr>
                <w:rFonts w:hint="eastAsia" w:ascii="宋体" w:hAnsi="宋体" w:cs="宋体"/>
                <w:sz w:val="24"/>
                <w:highlight w:val="none"/>
              </w:rPr>
            </w:r>
            <w:r/>
          </w:p>
        </w:tc>
        <w:tc>
          <w:tcPr>
            <w:tcW w:w="7253" w:type="dxa"/>
            <w:vAlign w:val="center"/>
            <w:textDirection w:val="lrTb"/>
            <w:noWrap w:val="false"/>
          </w:tcPr>
          <w:p>
            <w:pPr>
              <w:pStyle w:val="825"/>
              <w:jc w:val="left"/>
              <w:rPr>
                <w:rFonts w:hint="eastAsia" w:ascii="宋体" w:hAnsi="宋体" w:cs="宋体"/>
                <w:sz w:val="24"/>
                <w:highlight w:val="none"/>
              </w:rPr>
            </w:pPr>
            <w:r>
              <w:rPr>
                <w:rFonts w:hint="eastAsia" w:ascii="宋体" w:hAnsi="宋体" w:cs="宋体"/>
                <w:sz w:val="24"/>
                <w:highlight w:val="none"/>
              </w:rPr>
              <w:t xml:space="preserve">收费对象：</w:t>
            </w:r>
            <w:r>
              <w:rPr>
                <w:rFonts w:hint="eastAsia" w:ascii="宋体" w:hAnsi="宋体" w:cs="宋体"/>
                <w:sz w:val="24"/>
                <w:highlight w:val="none"/>
              </w:rPr>
            </w:r>
            <w:r/>
          </w:p>
          <w:p>
            <w:pPr>
              <w:pStyle w:val="825"/>
              <w:jc w:val="left"/>
              <w:rPr>
                <w:rFonts w:hint="eastAsia" w:ascii="宋体" w:hAnsi="宋体" w:cs="宋体"/>
                <w:sz w:val="24"/>
                <w:highlight w:val="none"/>
              </w:rPr>
            </w:pPr>
            <w:r>
              <w:rPr>
                <w:rFonts w:hint="eastAsia" w:ascii="宋体" w:hAnsi="宋体" w:cs="宋体"/>
                <w:sz w:val="24"/>
                <w:highlight w:val="none"/>
              </w:rPr>
              <w:t xml:space="preserve">□采购人</w:t>
            </w:r>
            <w:r>
              <w:rPr>
                <w:rFonts w:hint="eastAsia" w:ascii="宋体" w:hAnsi="宋体" w:cs="宋体"/>
                <w:sz w:val="24"/>
                <w:highlight w:val="none"/>
              </w:rPr>
            </w:r>
            <w:r/>
          </w:p>
          <w:p>
            <w:pPr>
              <w:pStyle w:val="825"/>
              <w:jc w:val="left"/>
              <w:rPr>
                <w:rFonts w:hint="eastAsia" w:ascii="宋体" w:hAnsi="宋体" w:cs="宋体"/>
                <w:sz w:val="24"/>
                <w:highlight w:val="none"/>
              </w:rPr>
            </w:pPr>
            <w:r>
              <w:rPr>
                <w:rFonts w:hint="eastAsia" w:ascii="宋体" w:hAnsi="宋体" w:cs="宋体"/>
                <w:sz w:val="24"/>
                <w:highlight w:val="none"/>
              </w:rPr>
              <w:t xml:space="preserve">■成交供应商</w:t>
            </w:r>
            <w:r>
              <w:rPr>
                <w:rFonts w:hint="eastAsia" w:ascii="宋体" w:hAnsi="宋体" w:cs="宋体"/>
                <w:sz w:val="24"/>
                <w:highlight w:val="none"/>
              </w:rPr>
            </w:r>
            <w:r/>
          </w:p>
          <w:p>
            <w:pPr>
              <w:pStyle w:val="825"/>
              <w:ind w:firstLine="480"/>
              <w:jc w:val="left"/>
              <w:rPr>
                <w:rFonts w:hint="eastAsia" w:ascii="宋体" w:hAnsi="宋体" w:cs="宋体"/>
                <w:sz w:val="24"/>
                <w:highlight w:val="none"/>
              </w:rPr>
            </w:pPr>
            <w:r>
              <w:rPr>
                <w:rFonts w:hint="eastAsia" w:ascii="宋体" w:hAnsi="宋体" w:cs="宋体"/>
                <w:sz w:val="24"/>
                <w:highlight w:val="none"/>
              </w:rPr>
              <w:t xml:space="preserve">收费标准：</w:t>
            </w:r>
            <w:r>
              <w:rPr>
                <w:rFonts w:hint="eastAsia" w:ascii="宋体" w:hAnsi="宋体" w:cs="宋体"/>
                <w:sz w:val="24"/>
                <w:highlight w:val="none"/>
              </w:rPr>
            </w:r>
            <w:r/>
          </w:p>
          <w:tbl>
            <w:tblPr>
              <w:tblW w:w="5430" w:type="dxa"/>
              <w:tblInd w:w="6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825"/>
                    <w:ind w:firstLine="945"/>
                    <w:spacing w:line="440" w:lineRule="exact"/>
                    <w:rPr>
                      <w:rFonts w:hint="eastAsia" w:ascii="宋体" w:hAnsi="宋体" w:cs="宋体"/>
                      <w:bCs/>
                      <w:sz w:val="24"/>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342900</wp:posOffset>
                            </wp:positionH>
                            <wp:positionV relativeFrom="paragraph">
                              <wp:posOffset>-4444</wp:posOffset>
                            </wp:positionV>
                            <wp:extent cx="1506855" cy="1675130"/>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flip:xy;visibility:visible;" from="27.0pt,-0.3pt" to="145.6pt,131.6pt" fillcolor="#FFFFFF" strokecolor="#000000"/>
                        </w:pict>
                      </mc:Fallback>
                    </mc:AlternateContent>
                  </w: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-112394</wp:posOffset>
                            </wp:positionH>
                            <wp:positionV relativeFrom="paragraph">
                              <wp:posOffset>-4444</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visibility:visible;" from="-8.8pt,-0.3pt" to="-8.8pt,-0.3pt" fillcolor="#FFFFFF" strokecolor="#000000"/>
                        </w:pict>
                      </mc:Fallback>
                    </mc:AlternateContent>
                  </w:r>
                  <w:r>
                    <w:rPr>
                      <w:rFonts w:hint="eastAsia" w:ascii="宋体" w:hAnsi="宋体" w:cs="宋体"/>
                      <w:bCs/>
                      <w:sz w:val="24"/>
                      <w:highlight w:val="none"/>
                    </w:rPr>
                    <w:t xml:space="preserve">服</w:t>
                  </w:r>
                  <w:r>
                    <w:rPr>
                      <w:rFonts w:hint="eastAsia" w:ascii="宋体" w:hAnsi="宋体" w:cs="宋体"/>
                      <w:bCs/>
                      <w:sz w:val="24"/>
                      <w:highlight w:val="none"/>
                    </w:rPr>
                  </w:r>
                  <w:r/>
                </w:p>
                <w:p>
                  <w:pPr>
                    <w:pStyle w:val="825"/>
                    <w:ind w:firstLine="240"/>
                    <w:spacing w:line="440" w:lineRule="exact"/>
                    <w:rPr>
                      <w:rFonts w:hint="eastAsia" w:ascii="宋体" w:hAnsi="宋体" w:cs="宋体"/>
                      <w:bCs/>
                      <w:sz w:val="24"/>
                      <w:highlight w:val="none"/>
                    </w:rPr>
                  </w:pPr>
                  <w:r>
                    <w:rPr>
                      <w:rFonts w:hint="eastAsia" w:ascii="宋体" w:hAnsi="宋体" w:cs="宋体"/>
                      <w:bCs/>
                      <w:sz w:val="24"/>
                      <w:highlight w:val="none"/>
                    </w:rPr>
                    <w:t xml:space="preserve">费　　　   务</w:t>
                  </w:r>
                  <w:r>
                    <w:rPr>
                      <w:rFonts w:hint="eastAsia" w:ascii="宋体" w:hAnsi="宋体" w:cs="宋体"/>
                      <w:bCs/>
                      <w:sz w:val="24"/>
                      <w:highlight w:val="none"/>
                    </w:rPr>
                  </w:r>
                  <w:r/>
                </w:p>
                <w:p>
                  <w:pPr>
                    <w:pStyle w:val="825"/>
                    <w:ind w:firstLine="1260"/>
                    <w:spacing w:line="440" w:lineRule="exact"/>
                    <w:rPr>
                      <w:rFonts w:hint="eastAsia" w:ascii="宋体" w:hAnsi="宋体" w:cs="宋体"/>
                      <w:bCs/>
                      <w:sz w:val="24"/>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-82549</wp:posOffset>
                            </wp:positionH>
                            <wp:positionV relativeFrom="paragraph">
                              <wp:posOffset>90805</wp:posOffset>
                            </wp:positionV>
                            <wp:extent cx="1932940" cy="102044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 w:val="24"/>
                      <w:highlight w:val="none"/>
                    </w:rPr>
                    <w:t xml:space="preserve">　   类</w:t>
                  </w:r>
                  <w:r>
                    <w:rPr>
                      <w:rFonts w:hint="eastAsia" w:ascii="宋体" w:hAnsi="宋体" w:cs="宋体"/>
                      <w:bCs/>
                      <w:sz w:val="24"/>
                      <w:highlight w:val="none"/>
                    </w:rPr>
                  </w:r>
                  <w:r/>
                </w:p>
                <w:p>
                  <w:pPr>
                    <w:pStyle w:val="825"/>
                    <w:ind w:firstLine="1200"/>
                    <w:spacing w:line="440" w:lineRule="exact"/>
                    <w:rPr>
                      <w:rFonts w:hint="eastAsia" w:ascii="宋体" w:hAnsi="宋体" w:cs="宋体"/>
                      <w:bCs/>
                      <w:sz w:val="24"/>
                      <w:highlight w:val="none"/>
                    </w:rPr>
                  </w:pPr>
                  <w:r>
                    <w:rPr>
                      <w:rFonts w:hint="eastAsia" w:ascii="宋体" w:hAnsi="宋体" w:cs="宋体"/>
                      <w:bCs/>
                      <w:sz w:val="24"/>
                      <w:highlight w:val="none"/>
                    </w:rPr>
                    <w:t xml:space="preserve">率　       型</w:t>
                  </w:r>
                  <w:r>
                    <w:rPr>
                      <w:rFonts w:hint="eastAsia" w:ascii="宋体" w:hAnsi="宋体" w:cs="宋体"/>
                      <w:bCs/>
                      <w:sz w:val="24"/>
                      <w:highlight w:val="none"/>
                    </w:rPr>
                  </w:r>
                  <w:r/>
                </w:p>
                <w:p>
                  <w:pPr>
                    <w:pStyle w:val="825"/>
                    <w:ind w:firstLine="1200"/>
                    <w:spacing w:line="440" w:lineRule="exact"/>
                    <w:rPr>
                      <w:rFonts w:hint="eastAsia"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rPr>
                  </w:r>
                  <w:r/>
                </w:p>
                <w:p>
                  <w:pPr>
                    <w:pStyle w:val="825"/>
                    <w:spacing w:line="440" w:lineRule="exact"/>
                    <w:rPr>
                      <w:rFonts w:hint="eastAsia" w:ascii="宋体" w:hAnsi="宋体" w:cs="宋体"/>
                      <w:bCs/>
                      <w:sz w:val="24"/>
                      <w:highlight w:val="none"/>
                    </w:rPr>
                  </w:pPr>
                  <w:r>
                    <w:rPr>
                      <w:rFonts w:hint="eastAsia" w:ascii="宋体" w:hAnsi="宋体" w:cs="宋体"/>
                      <w:bCs/>
                      <w:sz w:val="24"/>
                      <w:highlight w:val="none"/>
                    </w:rPr>
                    <w:t xml:space="preserve">成交金额（万元）</w:t>
                  </w:r>
                  <w:r>
                    <w:rPr>
                      <w:rFonts w:hint="eastAsia" w:ascii="宋体" w:hAnsi="宋体" w:cs="宋体"/>
                      <w:bCs/>
                      <w:sz w:val="24"/>
                      <w:highlight w:val="none"/>
                    </w:rPr>
                  </w:r>
                  <w:r/>
                </w:p>
              </w:tc>
              <w:tc>
                <w:tcPr>
                  <w:tcW w:w="2407" w:type="dxa"/>
                  <w:vAlign w:val="center"/>
                  <w:textDirection w:val="lrTb"/>
                  <w:noWrap w:val="false"/>
                </w:tcPr>
                <w:p>
                  <w:pPr>
                    <w:pStyle w:val="825"/>
                    <w:jc w:val="center"/>
                    <w:spacing w:line="440" w:lineRule="exact"/>
                    <w:rPr>
                      <w:rFonts w:hint="eastAsia" w:ascii="宋体" w:hAnsi="宋体" w:cs="宋体"/>
                      <w:bCs/>
                      <w:sz w:val="24"/>
                      <w:highlight w:val="none"/>
                    </w:rPr>
                  </w:pPr>
                  <w:r>
                    <w:rPr>
                      <w:rFonts w:hint="eastAsia" w:ascii="宋体" w:hAnsi="宋体" w:cs="宋体"/>
                      <w:bCs/>
                      <w:sz w:val="24"/>
                      <w:highlight w:val="none"/>
                    </w:rPr>
                    <w:t xml:space="preserve">服务类</w:t>
                  </w:r>
                  <w:r>
                    <w:rPr>
                      <w:rFonts w:hint="eastAsia" w:ascii="宋体" w:hAnsi="宋体" w:cs="宋体"/>
                      <w:bCs/>
                      <w:sz w:val="24"/>
                      <w:highlight w:val="none"/>
                    </w:rPr>
                  </w:r>
                  <w:r/>
                </w:p>
              </w:tc>
            </w:tr>
            <w:tr>
              <w:trPr>
                <w:trHeight w:val="454"/>
              </w:trPr>
              <w:tc>
                <w:tcPr>
                  <w:tcW w:w="3023" w:type="dxa"/>
                  <w:vAlign w:val="center"/>
                  <w:textDirection w:val="lrTb"/>
                  <w:noWrap w:val="false"/>
                </w:tcPr>
                <w:p>
                  <w:pPr>
                    <w:pStyle w:val="825"/>
                    <w:jc w:val="center"/>
                    <w:spacing w:line="280" w:lineRule="exact"/>
                    <w:rPr>
                      <w:rFonts w:hint="eastAsia" w:ascii="宋体" w:hAnsi="宋体" w:cs="宋体"/>
                      <w:sz w:val="24"/>
                      <w:highlight w:val="none"/>
                    </w:rPr>
                  </w:pPr>
                  <w:r>
                    <w:rPr>
                      <w:rFonts w:hint="eastAsia" w:ascii="宋体" w:hAnsi="宋体" w:cs="宋体"/>
                      <w:sz w:val="24"/>
                      <w:highlight w:val="none"/>
                    </w:rPr>
                    <w:t xml:space="preserve">100（含，下同）以下</w:t>
                  </w:r>
                  <w:r>
                    <w:rPr>
                      <w:rFonts w:hint="eastAsia" w:ascii="宋体" w:hAnsi="宋体" w:cs="宋体"/>
                      <w:sz w:val="24"/>
                      <w:highlight w:val="none"/>
                    </w:rPr>
                  </w:r>
                  <w:r/>
                </w:p>
              </w:tc>
              <w:tc>
                <w:tcPr>
                  <w:tcW w:w="2407" w:type="dxa"/>
                  <w:vAlign w:val="center"/>
                  <w:textDirection w:val="lrTb"/>
                  <w:noWrap w:val="false"/>
                </w:tcPr>
                <w:p>
                  <w:pPr>
                    <w:pStyle w:val="825"/>
                    <w:jc w:val="center"/>
                    <w:spacing w:line="280" w:lineRule="exact"/>
                    <w:rPr>
                      <w:rFonts w:hint="eastAsia" w:ascii="宋体" w:hAnsi="宋体" w:cs="宋体"/>
                      <w:sz w:val="24"/>
                      <w:highlight w:val="none"/>
                    </w:rPr>
                  </w:pPr>
                  <w:r>
                    <w:rPr>
                      <w:rFonts w:hint="eastAsia" w:ascii="宋体" w:hAnsi="宋体" w:cs="宋体"/>
                      <w:sz w:val="24"/>
                      <w:highlight w:val="none"/>
                    </w:rPr>
                    <w:t xml:space="preserve">1.5%</w:t>
                  </w:r>
                  <w:r>
                    <w:rPr>
                      <w:rFonts w:hint="eastAsia" w:ascii="宋体" w:hAnsi="宋体" w:cs="宋体"/>
                      <w:sz w:val="24"/>
                      <w:highlight w:val="none"/>
                    </w:rPr>
                  </w:r>
                  <w:r/>
                </w:p>
              </w:tc>
            </w:tr>
            <w:tr>
              <w:trPr>
                <w:trHeight w:val="454"/>
              </w:trPr>
              <w:tc>
                <w:tcPr>
                  <w:tcW w:w="3023" w:type="dxa"/>
                  <w:vAlign w:val="center"/>
                  <w:textDirection w:val="lrTb"/>
                  <w:noWrap w:val="false"/>
                </w:tcPr>
                <w:p>
                  <w:pPr>
                    <w:pStyle w:val="825"/>
                    <w:jc w:val="center"/>
                    <w:spacing w:line="280" w:lineRule="exact"/>
                    <w:rPr>
                      <w:rFonts w:hint="eastAsia" w:ascii="宋体" w:hAnsi="宋体" w:cs="宋体"/>
                      <w:sz w:val="24"/>
                      <w:highlight w:val="none"/>
                    </w:rPr>
                  </w:pPr>
                  <w:r>
                    <w:rPr>
                      <w:rFonts w:hint="eastAsia" w:ascii="宋体" w:hAnsi="宋体" w:cs="宋体"/>
                      <w:sz w:val="24"/>
                      <w:highlight w:val="none"/>
                    </w:rPr>
                    <w:t xml:space="preserve">100-500</w:t>
                  </w:r>
                  <w:r>
                    <w:rPr>
                      <w:rFonts w:hint="eastAsia" w:ascii="宋体" w:hAnsi="宋体" w:cs="宋体"/>
                      <w:sz w:val="24"/>
                      <w:highlight w:val="none"/>
                    </w:rPr>
                  </w:r>
                  <w:r/>
                </w:p>
              </w:tc>
              <w:tc>
                <w:tcPr>
                  <w:tcW w:w="2407" w:type="dxa"/>
                  <w:vAlign w:val="center"/>
                  <w:textDirection w:val="lrTb"/>
                  <w:noWrap w:val="false"/>
                </w:tcPr>
                <w:p>
                  <w:pPr>
                    <w:pStyle w:val="825"/>
                    <w:jc w:val="center"/>
                    <w:spacing w:line="280" w:lineRule="exact"/>
                    <w:rPr>
                      <w:rFonts w:hint="eastAsia" w:ascii="宋体" w:hAnsi="宋体" w:cs="宋体"/>
                      <w:sz w:val="24"/>
                      <w:highlight w:val="none"/>
                    </w:rPr>
                  </w:pPr>
                  <w:r>
                    <w:rPr>
                      <w:rFonts w:hint="eastAsia" w:ascii="宋体" w:hAnsi="宋体" w:cs="宋体"/>
                      <w:sz w:val="24"/>
                      <w:highlight w:val="none"/>
                    </w:rPr>
                    <w:t xml:space="preserve">0.8%</w:t>
                  </w:r>
                  <w:r>
                    <w:rPr>
                      <w:rFonts w:hint="eastAsia" w:ascii="宋体" w:hAnsi="宋体" w:cs="宋体"/>
                      <w:sz w:val="24"/>
                      <w:highlight w:val="none"/>
                    </w:rPr>
                  </w:r>
                  <w:r/>
                </w:p>
              </w:tc>
            </w:tr>
            <w:tr>
              <w:trPr>
                <w:trHeight w:val="454"/>
              </w:trPr>
              <w:tc>
                <w:tcPr>
                  <w:tcW w:w="3023" w:type="dxa"/>
                  <w:vAlign w:val="center"/>
                  <w:textDirection w:val="lrTb"/>
                  <w:noWrap w:val="false"/>
                </w:tcPr>
                <w:p>
                  <w:pPr>
                    <w:pStyle w:val="825"/>
                    <w:jc w:val="center"/>
                    <w:spacing w:line="280" w:lineRule="exact"/>
                    <w:rPr>
                      <w:rFonts w:hint="eastAsia" w:ascii="宋体" w:hAnsi="宋体" w:cs="宋体"/>
                      <w:sz w:val="24"/>
                      <w:highlight w:val="none"/>
                    </w:rPr>
                  </w:pPr>
                  <w:r>
                    <w:rPr>
                      <w:rFonts w:hint="eastAsia" w:ascii="宋体" w:hAnsi="宋体" w:cs="宋体"/>
                      <w:sz w:val="24"/>
                      <w:highlight w:val="none"/>
                    </w:rPr>
                    <w:t xml:space="preserve">500—1000</w:t>
                  </w:r>
                  <w:r>
                    <w:rPr>
                      <w:rFonts w:hint="eastAsia" w:ascii="宋体" w:hAnsi="宋体" w:cs="宋体"/>
                      <w:sz w:val="24"/>
                      <w:highlight w:val="none"/>
                    </w:rPr>
                  </w:r>
                  <w:r/>
                </w:p>
              </w:tc>
              <w:tc>
                <w:tcPr>
                  <w:tcW w:w="2407" w:type="dxa"/>
                  <w:vAlign w:val="center"/>
                  <w:textDirection w:val="lrTb"/>
                  <w:noWrap w:val="false"/>
                </w:tcPr>
                <w:p>
                  <w:pPr>
                    <w:pStyle w:val="825"/>
                    <w:jc w:val="center"/>
                    <w:spacing w:line="280" w:lineRule="exact"/>
                    <w:rPr>
                      <w:rFonts w:hint="eastAsia" w:ascii="宋体" w:hAnsi="宋体" w:cs="宋体"/>
                      <w:sz w:val="24"/>
                      <w:highlight w:val="none"/>
                    </w:rPr>
                  </w:pPr>
                  <w:r>
                    <w:rPr>
                      <w:rFonts w:hint="eastAsia" w:ascii="宋体" w:hAnsi="宋体" w:cs="宋体"/>
                      <w:sz w:val="24"/>
                      <w:highlight w:val="none"/>
                    </w:rPr>
                    <w:t xml:space="preserve">0.45%</w:t>
                  </w:r>
                  <w:r>
                    <w:rPr>
                      <w:rFonts w:hint="eastAsia" w:ascii="宋体" w:hAnsi="宋体" w:cs="宋体"/>
                      <w:sz w:val="24"/>
                      <w:highlight w:val="none"/>
                    </w:rPr>
                  </w:r>
                  <w:r/>
                </w:p>
              </w:tc>
            </w:tr>
            <w:tr>
              <w:trPr>
                <w:trHeight w:val="454"/>
              </w:trPr>
              <w:tc>
                <w:tcPr>
                  <w:tcW w:w="3023" w:type="dxa"/>
                  <w:vAlign w:val="center"/>
                  <w:textDirection w:val="lrTb"/>
                  <w:noWrap w:val="false"/>
                </w:tcPr>
                <w:p>
                  <w:pPr>
                    <w:pStyle w:val="825"/>
                    <w:jc w:val="center"/>
                    <w:spacing w:line="280" w:lineRule="exact"/>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1000-5000</w:t>
                  </w:r>
                  <w:r>
                    <w:rPr>
                      <w:rFonts w:ascii="宋体" w:hAnsi="宋体" w:eastAsia="宋体" w:cs="宋体"/>
                      <w:sz w:val="24"/>
                      <w:highlight w:val="none"/>
                      <w:lang w:val="en-US" w:eastAsia="zh-CN"/>
                    </w:rPr>
                  </w:r>
                  <w:r/>
                </w:p>
              </w:tc>
              <w:tc>
                <w:tcPr>
                  <w:tcW w:w="2407" w:type="dxa"/>
                  <w:vAlign w:val="center"/>
                  <w:textDirection w:val="lrTb"/>
                  <w:noWrap w:val="false"/>
                </w:tcPr>
                <w:p>
                  <w:pPr>
                    <w:pStyle w:val="825"/>
                    <w:jc w:val="center"/>
                    <w:spacing w:line="280" w:lineRule="exact"/>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0.25%</w:t>
                  </w:r>
                  <w:r>
                    <w:rPr>
                      <w:rFonts w:ascii="宋体" w:hAnsi="宋体" w:eastAsia="宋体" w:cs="宋体"/>
                      <w:sz w:val="24"/>
                      <w:highlight w:val="none"/>
                      <w:lang w:val="en-US" w:eastAsia="zh-CN"/>
                    </w:rPr>
                  </w:r>
                  <w:r/>
                </w:p>
              </w:tc>
            </w:tr>
            <w:tr>
              <w:trPr>
                <w:trHeight w:val="454"/>
              </w:trPr>
              <w:tc>
                <w:tcPr>
                  <w:tcW w:w="3023" w:type="dxa"/>
                  <w:vAlign w:val="center"/>
                  <w:textDirection w:val="lrTb"/>
                  <w:noWrap w:val="false"/>
                </w:tcPr>
                <w:p>
                  <w:pPr>
                    <w:pStyle w:val="825"/>
                    <w:jc w:val="center"/>
                    <w:spacing w:line="440" w:lineRule="exac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tc>
              <w:tc>
                <w:tcPr>
                  <w:tcW w:w="2407" w:type="dxa"/>
                  <w:vAlign w:val="center"/>
                  <w:textDirection w:val="lrTb"/>
                  <w:noWrap w:val="false"/>
                </w:tcPr>
                <w:p>
                  <w:pPr>
                    <w:pStyle w:val="825"/>
                    <w:jc w:val="center"/>
                    <w:spacing w:line="440" w:lineRule="exac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tc>
            </w:tr>
          </w:tbl>
          <w:p>
            <w:pPr>
              <w:pStyle w:val="825"/>
              <w:ind w:firstLine="480"/>
              <w:jc w:val="left"/>
              <w:rPr>
                <w:rFonts w:hint="eastAsia" w:ascii="宋体" w:hAnsi="宋体" w:cs="宋体"/>
                <w:sz w:val="24"/>
                <w:highlight w:val="none"/>
              </w:rPr>
            </w:pPr>
            <w:r>
              <w:rPr>
                <w:rFonts w:hint="eastAsia" w:ascii="宋体" w:hAnsi="宋体" w:cs="宋体"/>
                <w:sz w:val="24"/>
                <w:highlight w:val="none"/>
              </w:rPr>
            </w:r>
            <w:r/>
          </w:p>
          <w:p>
            <w:pPr>
              <w:pStyle w:val="825"/>
              <w:ind w:firstLine="480"/>
              <w:jc w:val="left"/>
              <w:rPr>
                <w:rFonts w:hint="eastAsia" w:ascii="宋体" w:hAnsi="宋体" w:cs="宋体"/>
                <w:sz w:val="24"/>
                <w:highlight w:val="none"/>
              </w:rPr>
            </w:pPr>
            <w:r>
              <w:rPr>
                <w:rFonts w:hint="eastAsia" w:ascii="宋体" w:hAnsi="宋体" w:cs="宋体"/>
                <w:sz w:val="24"/>
                <w:highlight w:val="none"/>
              </w:rPr>
              <w:t xml:space="preserve">代理费按差额定率累进法计算。 </w:t>
            </w:r>
            <w:r>
              <w:rPr>
                <w:rFonts w:hint="eastAsia" w:ascii="宋体" w:hAnsi="宋体" w:cs="宋体"/>
                <w:sz w:val="24"/>
                <w:highlight w:val="none"/>
              </w:rPr>
            </w:r>
            <w:r/>
          </w:p>
          <w:p>
            <w:pPr>
              <w:pStyle w:val="825"/>
              <w:ind w:firstLine="480"/>
              <w:jc w:val="left"/>
              <w:rPr>
                <w:rFonts w:hint="eastAsia" w:ascii="宋体" w:hAnsi="宋体" w:cs="宋体"/>
                <w:b/>
                <w:sz w:val="24"/>
                <w:highlight w:val="none"/>
              </w:rPr>
            </w:pPr>
            <w:r>
              <w:rPr>
                <w:rFonts w:hint="eastAsia" w:ascii="宋体" w:hAnsi="宋体" w:cs="宋体"/>
                <w:sz w:val="24"/>
                <w:highlight w:val="none"/>
              </w:rPr>
              <w:t xml:space="preserve">代理费</w:t>
            </w:r>
            <w:r>
              <w:rPr>
                <w:rFonts w:hint="eastAsia" w:ascii="宋体" w:hAnsi="宋体" w:cs="宋体"/>
                <w:b/>
                <w:sz w:val="24"/>
                <w:highlight w:val="none"/>
              </w:rPr>
              <w:t xml:space="preserve">按照上述标准收取。</w:t>
            </w:r>
            <w:r>
              <w:rPr>
                <w:rFonts w:hint="eastAsia" w:ascii="宋体" w:hAnsi="宋体" w:cs="宋体"/>
                <w:b/>
                <w:sz w:val="24"/>
                <w:highlight w:val="none"/>
              </w:rPr>
            </w:r>
            <w:r/>
          </w:p>
          <w:p>
            <w:pPr>
              <w:pStyle w:val="825"/>
              <w:ind w:firstLine="480"/>
              <w:jc w:val="left"/>
              <w:rPr>
                <w:rFonts w:hint="eastAsia" w:ascii="宋体" w:hAnsi="宋体" w:cs="宋体"/>
                <w:sz w:val="24"/>
                <w:highlight w:val="none"/>
              </w:rPr>
            </w:pPr>
            <w:r>
              <w:rPr>
                <w:rFonts w:hint="eastAsia" w:ascii="宋体" w:hAnsi="宋体" w:cs="宋体"/>
                <w:sz w:val="24"/>
                <w:highlight w:val="none"/>
              </w:rPr>
              <w:t xml:space="preserve">代理费按上述计算方法不足人民币3000元的，按人民币3000元收取。</w:t>
            </w:r>
            <w:r>
              <w:rPr>
                <w:rFonts w:hint="eastAsia" w:ascii="宋体" w:hAnsi="宋体" w:cs="宋体"/>
                <w:sz w:val="24"/>
                <w:highlight w:val="none"/>
              </w:rPr>
            </w:r>
            <w:r/>
          </w:p>
          <w:p>
            <w:pPr>
              <w:pStyle w:val="825"/>
              <w:ind w:firstLine="480"/>
              <w:jc w:val="lef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若成交金额为150万，计算公式为：</w:t>
            </w:r>
            <w:r>
              <w:rPr>
                <w:rFonts w:hint="eastAsia" w:ascii="宋体" w:hAnsi="宋体" w:cs="宋体"/>
                <w:sz w:val="24"/>
                <w:highlight w:val="none"/>
                <w:lang w:val="en-US" w:eastAsia="zh-CN"/>
              </w:rPr>
            </w:r>
            <w:r/>
          </w:p>
          <w:p>
            <w:pPr>
              <w:pStyle w:val="825"/>
              <w:ind w:firstLine="480"/>
              <w:jc w:val="left"/>
              <w:rPr>
                <w:rFonts w:hint="eastAsia" w:ascii="宋体" w:hAnsi="宋体" w:cs="宋体"/>
                <w:sz w:val="24"/>
                <w:highlight w:val="none"/>
                <w:u w:val="single"/>
              </w:rPr>
            </w:pPr>
            <w:r>
              <w:rPr>
                <w:rFonts w:hint="eastAsia" w:ascii="宋体" w:hAnsi="宋体" w:cs="宋体"/>
                <w:sz w:val="24"/>
                <w:highlight w:val="none"/>
                <w:lang w:val="en-US" w:eastAsia="zh-CN"/>
              </w:rPr>
              <w:t xml:space="preserve">100万*1.5%+（150万-100万）*0.8%=1.9万元</w:t>
            </w:r>
            <w:r>
              <w:rPr>
                <w:rFonts w:hint="eastAsia" w:ascii="宋体" w:hAnsi="宋体" w:cs="宋体"/>
                <w:sz w:val="24"/>
                <w:highlight w:val="none"/>
                <w:u w:val="single"/>
              </w:rPr>
            </w:r>
            <w:r/>
          </w:p>
          <w:p>
            <w:pPr>
              <w:pStyle w:val="825"/>
              <w:jc w:val="left"/>
              <w:rPr>
                <w:rFonts w:hint="eastAsia" w:ascii="宋体" w:hAnsi="宋体" w:cs="宋体"/>
                <w:sz w:val="24"/>
                <w:highlight w:val="none"/>
              </w:rPr>
            </w:pPr>
            <w:r>
              <w:rPr>
                <w:rFonts w:hint="eastAsia" w:ascii="宋体" w:hAnsi="宋体" w:cs="宋体"/>
                <w:sz w:val="24"/>
                <w:highlight w:val="none"/>
              </w:rPr>
              <w:t xml:space="preserve">缴纳时间：</w:t>
            </w:r>
            <w:r>
              <w:rPr>
                <w:rFonts w:hint="eastAsia" w:ascii="宋体" w:hAnsi="宋体" w:cs="宋体"/>
                <w:sz w:val="24"/>
                <w:highlight w:val="none"/>
                <w:u w:val="single"/>
              </w:rPr>
              <w:t xml:space="preserve"> 成交供应商应在领取成交通知书时将成交服务费付至采购代理机构的</w:t>
            </w:r>
            <w:r>
              <w:rPr>
                <w:rFonts w:hint="eastAsia" w:ascii="宋体" w:hAnsi="宋体" w:cs="宋体"/>
                <w:sz w:val="24"/>
                <w:highlight w:val="none"/>
                <w:u w:val="single"/>
                <w:lang w:val="en-US" w:eastAsia="zh-CN"/>
              </w:rPr>
              <w:t xml:space="preserve">指定账户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tc>
      </w:tr>
    </w:tbl>
    <w:p>
      <w:pPr>
        <w:pStyle w:val="825"/>
        <w:jc w:val="both"/>
        <w:spacing w:line="360" w:lineRule="auto"/>
        <w:tabs>
          <w:tab w:val="left" w:pos="5580" w:leader="none"/>
        </w:tabs>
        <w:rPr>
          <w:sz w:val="24"/>
          <w:highlight w:val="none"/>
        </w:rPr>
      </w:pPr>
      <w:r>
        <w:rPr>
          <w:sz w:val="24"/>
          <w:highlight w:val="none"/>
        </w:rPr>
      </w:r>
      <w:r/>
    </w:p>
    <w:p>
      <w:pPr>
        <w:pStyle w:val="825"/>
        <w:rPr>
          <w:sz w:val="21"/>
          <w:szCs w:val="24"/>
          <w:lang w:val="en-US" w:eastAsia="zh-CN" w:bidi="ar-SA"/>
        </w:rPr>
      </w:pPr>
      <w:r>
        <w:rPr>
          <w:sz w:val="21"/>
          <w:szCs w:val="24"/>
          <w:lang w:val="en-US" w:eastAsia="zh-CN" w:bidi="ar-SA"/>
        </w:rPr>
      </w:r>
      <w:r/>
    </w:p>
    <w:p>
      <w:pPr>
        <w:pStyle w:val="825"/>
        <w:rPr>
          <w:lang w:val="en-US" w:eastAsia="zh-CN"/>
        </w:rPr>
      </w:pPr>
      <w:r>
        <w:rPr>
          <w:lang w:val="en-US" w:eastAsia="zh-CN"/>
        </w:rPr>
      </w:r>
      <w:r/>
    </w:p>
    <w:p>
      <w:pPr>
        <w:pStyle w:val="825"/>
        <w:rPr>
          <w:lang w:val="en-US" w:eastAsia="zh-CN"/>
        </w:rPr>
      </w:pPr>
      <w:r>
        <w:rPr>
          <w:lang w:val="en-US" w:eastAsia="zh-CN"/>
        </w:rPr>
      </w:r>
      <w:r/>
    </w:p>
    <w:p>
      <w:pPr>
        <w:pStyle w:val="825"/>
        <w:rPr>
          <w:lang w:val="en-US" w:eastAsia="zh-CN"/>
        </w:rPr>
      </w:pPr>
      <w:r>
        <w:rPr>
          <w:lang w:val="en-US" w:eastAsia="zh-CN"/>
        </w:rPr>
      </w:r>
      <w:r/>
    </w:p>
    <w:p>
      <w:pPr>
        <w:pStyle w:val="825"/>
        <w:rPr>
          <w:lang w:val="en-US" w:eastAsia="zh-CN"/>
        </w:rPr>
      </w:pPr>
      <w:r>
        <w:rPr>
          <w:lang w:val="en-US" w:eastAsia="zh-CN"/>
        </w:rPr>
      </w:r>
      <w:r/>
    </w:p>
    <w:p>
      <w:pPr>
        <w:pStyle w:val="825"/>
        <w:rPr>
          <w:lang w:val="en-US" w:eastAsia="zh-CN"/>
        </w:rPr>
      </w:pPr>
      <w:r>
        <w:rPr>
          <w:lang w:val="en-US" w:eastAsia="zh-CN"/>
        </w:rPr>
      </w:r>
      <w:r/>
    </w:p>
    <w:p>
      <w:pPr>
        <w:pStyle w:val="825"/>
        <w:rPr>
          <w:lang w:val="en-US" w:eastAsia="zh-CN"/>
        </w:rPr>
      </w:pPr>
      <w:r>
        <w:rPr>
          <w:lang w:val="en-US" w:eastAsia="zh-CN"/>
        </w:rPr>
      </w:r>
      <w:r/>
    </w:p>
    <w:p>
      <w:pPr>
        <w:pStyle w:val="825"/>
        <w:rPr>
          <w:lang w:val="en-US" w:eastAsia="zh-CN"/>
        </w:rPr>
      </w:pPr>
      <w:r>
        <w:rPr>
          <w:lang w:val="en-US" w:eastAsia="zh-CN"/>
        </w:rPr>
      </w:r>
      <w:r/>
    </w:p>
    <w:p>
      <w:pPr>
        <w:pStyle w:val="825"/>
        <w:rPr>
          <w:lang w:val="en-US" w:eastAsia="zh-CN"/>
        </w:rPr>
      </w:pPr>
      <w:r>
        <w:rPr>
          <w:lang w:val="en-US" w:eastAsia="zh-CN"/>
        </w:rPr>
      </w:r>
      <w:r/>
    </w:p>
    <w:p>
      <w:pPr>
        <w:pStyle w:val="825"/>
        <w:rPr>
          <w:lang w:val="en-US" w:eastAsia="zh-CN"/>
        </w:rPr>
      </w:pPr>
      <w:r>
        <w:rPr>
          <w:lang w:val="en-US" w:eastAsia="zh-CN"/>
        </w:rPr>
      </w:r>
      <w:r/>
    </w:p>
    <w:p>
      <w:pPr>
        <w:pStyle w:val="825"/>
        <w:jc w:val="left"/>
        <w:tabs>
          <w:tab w:val="center" w:pos="4536" w:leader="none"/>
        </w:tabs>
        <w:rPr>
          <w:lang w:val="en-US" w:eastAsia="zh-CN"/>
        </w:rPr>
        <w:sectPr>
          <w:headerReference w:type="default" r:id="rId9"/>
          <w:headerReference w:type="first" r:id="rId10"/>
          <w:footerReference w:type="default" r:id="rId16"/>
          <w:footerReference w:type="first" r:id="rId17"/>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lang w:val="en-US" w:eastAsia="zh-CN"/>
        </w:rPr>
        <w:tab/>
      </w:r>
      <w:r>
        <w:rPr>
          <w:lang w:val="en-US" w:eastAsia="zh-CN"/>
        </w:rPr>
        <w:br w:type="page" w:clear="all"/>
      </w:r>
      <w:r/>
    </w:p>
    <w:p>
      <w:pPr>
        <w:pStyle w:val="825"/>
        <w:jc w:val="center"/>
        <w:spacing w:before="240" w:after="240"/>
        <w:rPr>
          <w:b/>
          <w:sz w:val="28"/>
          <w:szCs w:val="28"/>
          <w:highlight w:val="none"/>
        </w:rPr>
      </w:pPr>
      <w:r/>
      <w:bookmarkStart w:id="66" w:name="_Toc226965790"/>
      <w:r/>
      <w:bookmarkStart w:id="67" w:name="_Toc195842882"/>
      <w:r/>
      <w:bookmarkStart w:id="68" w:name="_Toc127151517"/>
      <w:r/>
      <w:bookmarkStart w:id="69" w:name="_Toc353873932"/>
      <w:r/>
      <w:bookmarkStart w:id="70" w:name="_Toc353873662"/>
      <w:r/>
      <w:bookmarkStart w:id="71" w:name="_Toc142311019"/>
      <w:r/>
      <w:bookmarkStart w:id="72" w:name="_Toc265228355"/>
      <w:r/>
      <w:bookmarkStart w:id="73" w:name="_Toc305158785"/>
      <w:r/>
      <w:bookmarkStart w:id="74" w:name="_Toc226337213"/>
      <w:r/>
      <w:bookmarkStart w:id="75" w:name="_Toc150480755"/>
      <w:r/>
      <w:bookmarkStart w:id="76" w:name="_Toc353825542"/>
      <w:r/>
      <w:bookmarkStart w:id="77" w:name="_Toc150774722"/>
      <w:r/>
      <w:bookmarkStart w:id="78" w:name="_Toc264969207"/>
      <w:r/>
      <w:bookmarkStart w:id="79" w:name="_Toc305158859"/>
      <w:r>
        <w:rPr>
          <w:b/>
          <w:sz w:val="28"/>
          <w:szCs w:val="28"/>
          <w:highlight w:val="none"/>
        </w:rPr>
        <w:t xml:space="preserve">投标人须知</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Pr>
          <w:b/>
          <w:sz w:val="28"/>
          <w:szCs w:val="28"/>
          <w:highlight w:val="none"/>
        </w:rPr>
      </w:r>
      <w:r/>
    </w:p>
    <w:p>
      <w:pPr>
        <w:pStyle w:val="827"/>
        <w:jc w:val="left"/>
        <w:spacing w:before="0" w:line="360" w:lineRule="auto"/>
        <w:tabs>
          <w:tab w:val="center" w:pos="4592" w:leader="none"/>
          <w:tab w:val="left" w:pos="7860" w:leader="none"/>
        </w:tabs>
        <w:rPr>
          <w:rFonts w:ascii="Times New Roman" w:hAnsi="Times New Roman" w:eastAsia="宋体"/>
          <w:sz w:val="28"/>
          <w:highlight w:val="none"/>
        </w:rPr>
      </w:pPr>
      <w:r/>
      <w:bookmarkStart w:id="80" w:name="_Toc127151518"/>
      <w:r/>
      <w:bookmarkStart w:id="81" w:name="_Toc520356143"/>
      <w:r>
        <w:rPr>
          <w:rFonts w:ascii="Times New Roman" w:hAnsi="Times New Roman" w:eastAsia="宋体"/>
          <w:sz w:val="28"/>
          <w:highlight w:val="none"/>
        </w:rPr>
        <w:tab/>
      </w:r>
      <w:bookmarkStart w:id="82" w:name="_Toc151193616"/>
      <w:r/>
      <w:bookmarkStart w:id="83" w:name="_Toc150774618"/>
      <w:r/>
      <w:bookmarkStart w:id="84" w:name="_Toc151193906"/>
      <w:r/>
      <w:bookmarkStart w:id="85" w:name="_Toc151193832"/>
      <w:r/>
      <w:bookmarkStart w:id="86" w:name="_Toc150480756"/>
      <w:r/>
      <w:bookmarkStart w:id="87" w:name="_Toc264969208"/>
      <w:r/>
      <w:bookmarkStart w:id="88" w:name="_Toc150774723"/>
      <w:r/>
      <w:bookmarkStart w:id="89" w:name="_Toc151193760"/>
      <w:r/>
      <w:bookmarkStart w:id="90" w:name="_Toc305158786"/>
      <w:r/>
      <w:bookmarkStart w:id="91" w:name="_Toc151190145"/>
      <w:r/>
      <w:bookmarkStart w:id="92" w:name="_Toc150509269"/>
      <w:r/>
      <w:bookmarkStart w:id="93" w:name="_Toc226965708"/>
      <w:r/>
      <w:bookmarkStart w:id="94" w:name="_Toc305158860"/>
      <w:r/>
      <w:bookmarkStart w:id="95" w:name="_Toc226337214"/>
      <w:r/>
      <w:bookmarkStart w:id="96" w:name="_Toc226965791"/>
      <w:r/>
      <w:bookmarkStart w:id="97" w:name="_Toc142311020"/>
      <w:r/>
      <w:bookmarkStart w:id="98" w:name="_Toc151193688"/>
      <w:r/>
      <w:bookmarkStart w:id="99" w:name="_Toc265228356"/>
      <w:r/>
      <w:bookmarkStart w:id="100" w:name="_Toc195842883"/>
      <w:r/>
      <w:bookmarkStart w:id="101" w:name="_Toc226309762"/>
      <w:r>
        <w:rPr>
          <w:rFonts w:ascii="Times New Roman" w:hAnsi="Times New Roman" w:eastAsia="宋体"/>
          <w:sz w:val="28"/>
          <w:highlight w:val="none"/>
        </w:rPr>
        <w:t xml:space="preserve">一   说  明</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Fonts w:ascii="Times New Roman" w:hAnsi="Times New Roman" w:eastAsia="宋体"/>
          <w:sz w:val="28"/>
          <w:highlight w:val="none"/>
        </w:rPr>
        <w:tab/>
      </w:r>
      <w:r>
        <w:rPr>
          <w:rFonts w:ascii="Times New Roman" w:hAnsi="Times New Roman" w:eastAsia="宋体"/>
          <w:sz w:val="28"/>
          <w:highlight w:val="none"/>
        </w:rPr>
      </w:r>
      <w:r/>
    </w:p>
    <w:p>
      <w:pPr>
        <w:pStyle w:val="825"/>
        <w:numPr>
          <w:ilvl w:val="0"/>
          <w:numId w:val="8"/>
        </w:numPr>
        <w:ind w:left="357" w:hanging="357"/>
        <w:spacing w:line="360" w:lineRule="auto"/>
        <w:tabs>
          <w:tab w:val="left" w:pos="360" w:leader="none"/>
        </w:tabs>
        <w:rPr>
          <w:sz w:val="24"/>
          <w:highlight w:val="none"/>
        </w:rPr>
        <w:outlineLvl w:val="1"/>
      </w:pPr>
      <w:r/>
      <w:bookmarkStart w:id="102" w:name="_Toc305158787"/>
      <w:r/>
      <w:bookmarkStart w:id="103" w:name="_Toc264969209"/>
      <w:r/>
      <w:bookmarkStart w:id="104" w:name="_Toc265228357"/>
      <w:r/>
      <w:bookmarkStart w:id="105" w:name="_Toc305158861"/>
      <w:r>
        <w:rPr>
          <w:sz w:val="24"/>
          <w:highlight w:val="none"/>
        </w:rPr>
        <w:t xml:space="preserve">采购人、采购代理机构、投标人</w:t>
      </w:r>
      <w:bookmarkEnd w:id="102"/>
      <w:r/>
      <w:bookmarkEnd w:id="103"/>
      <w:r/>
      <w:bookmarkEnd w:id="104"/>
      <w:r/>
      <w:bookmarkEnd w:id="105"/>
      <w:r>
        <w:rPr>
          <w:rFonts w:hint="eastAsia"/>
          <w:sz w:val="24"/>
          <w:highlight w:val="none"/>
        </w:rPr>
        <w:t xml:space="preserve">、联合体</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rPr>
          <w:sz w:val="24"/>
          <w:highlight w:val="none"/>
        </w:rPr>
      </w:r>
      <w:r/>
    </w:p>
    <w:p>
      <w:pPr>
        <w:pStyle w:val="825"/>
        <w:numPr>
          <w:ilvl w:val="0"/>
          <w:numId w:val="8"/>
        </w:numPr>
        <w:ind w:left="357" w:hanging="357"/>
        <w:spacing w:line="360" w:lineRule="auto"/>
        <w:tabs>
          <w:tab w:val="left" w:pos="360" w:leader="none"/>
        </w:tabs>
        <w:rPr>
          <w:sz w:val="24"/>
          <w:highlight w:val="none"/>
        </w:rPr>
        <w:outlineLvl w:val="1"/>
      </w:pPr>
      <w:r/>
      <w:bookmarkStart w:id="106" w:name="_Toc305158862"/>
      <w:r/>
      <w:bookmarkStart w:id="107" w:name="_Toc127151721"/>
      <w:r/>
      <w:bookmarkStart w:id="108" w:name="_Toc164608789"/>
      <w:r/>
      <w:bookmarkStart w:id="109" w:name="_Toc151193618"/>
      <w:r/>
      <w:bookmarkStart w:id="110" w:name="_Toc226965793"/>
      <w:r/>
      <w:bookmarkStart w:id="111" w:name="_Toc142311022"/>
      <w:r/>
      <w:bookmarkStart w:id="112" w:name="_Toc264969210"/>
      <w:r/>
      <w:bookmarkStart w:id="113" w:name="_Toc149720813"/>
      <w:r/>
      <w:bookmarkStart w:id="114" w:name="_Toc164351614"/>
      <w:r/>
      <w:bookmarkStart w:id="115" w:name="_Toc150480758"/>
      <w:r/>
      <w:bookmarkStart w:id="116" w:name="_Toc151193834"/>
      <w:r/>
      <w:bookmarkStart w:id="117" w:name="_Toc195842885"/>
      <w:r/>
      <w:bookmarkStart w:id="118" w:name="_Toc305158788"/>
      <w:r/>
      <w:bookmarkStart w:id="119" w:name="_Toc151193690"/>
      <w:r/>
      <w:bookmarkStart w:id="120" w:name="_Toc127161434"/>
      <w:r/>
      <w:bookmarkStart w:id="121" w:name="_Toc151193908"/>
      <w:r/>
      <w:bookmarkStart w:id="122" w:name="_Toc150774725"/>
      <w:r/>
      <w:bookmarkStart w:id="123" w:name="_Toc226337216"/>
      <w:r/>
      <w:bookmarkStart w:id="124" w:name="_Toc226309764"/>
      <w:r/>
      <w:bookmarkStart w:id="125" w:name="_Toc150509271"/>
      <w:r/>
      <w:bookmarkStart w:id="126" w:name="_Toc151190147"/>
      <w:r/>
      <w:bookmarkStart w:id="127" w:name="_Toc226965710"/>
      <w:r/>
      <w:bookmarkStart w:id="128" w:name="_Toc164229215"/>
      <w:r/>
      <w:bookmarkStart w:id="129" w:name="_Toc150774620"/>
      <w:r/>
      <w:bookmarkStart w:id="130" w:name="_Toc127151520"/>
      <w:r/>
      <w:bookmarkStart w:id="131" w:name="_Toc164608634"/>
      <w:r/>
      <w:bookmarkStart w:id="132" w:name="_Toc164229361"/>
      <w:r/>
      <w:bookmarkStart w:id="133" w:name="_Toc265228358"/>
      <w:r/>
      <w:bookmarkStart w:id="134" w:name="_Toc151193762"/>
      <w:r>
        <w:rPr>
          <w:sz w:val="24"/>
          <w:highlight w:val="none"/>
        </w:rPr>
        <w:t xml:space="preserve">资金来源</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Pr>
          <w:sz w:val="24"/>
          <w:highlight w:val="none"/>
        </w:rPr>
        <w:t xml:space="preserve">、项目属性、科研仪器设备采购、核心产品</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项目属性见《投标人须知资料表》。</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是否属于科研仪器设备采购见《投标人须知资料表》。</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核心产品见《投标人须知资料表》。</w:t>
      </w:r>
      <w:r>
        <w:rPr>
          <w:sz w:val="24"/>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现场考察、开标前答疑会</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35" w:name="_Toc151193692"/>
      <w:r/>
      <w:bookmarkStart w:id="136" w:name="_Toc226965795"/>
      <w:r/>
      <w:bookmarkStart w:id="137" w:name="_Toc265228360"/>
      <w:r/>
      <w:bookmarkStart w:id="138" w:name="_Toc195842887"/>
      <w:r/>
      <w:bookmarkStart w:id="139" w:name="_Toc150774727"/>
      <w:r/>
      <w:bookmarkStart w:id="140" w:name="_Toc305158864"/>
      <w:r/>
      <w:bookmarkStart w:id="141" w:name="_Toc151193910"/>
      <w:r/>
      <w:bookmarkStart w:id="142" w:name="_Toc226309766"/>
      <w:r/>
      <w:bookmarkStart w:id="143" w:name="_Toc226337218"/>
      <w:r/>
      <w:bookmarkStart w:id="144" w:name="_Toc305158790"/>
      <w:r/>
      <w:bookmarkStart w:id="145" w:name="_Toc150480760"/>
      <w:r/>
      <w:bookmarkStart w:id="146" w:name="_Toc142311024"/>
      <w:r/>
      <w:bookmarkStart w:id="147" w:name="_Toc520356146"/>
      <w:r/>
      <w:bookmarkStart w:id="148" w:name="_Toc151193764"/>
      <w:r/>
      <w:bookmarkStart w:id="149" w:name="_Toc150774622"/>
      <w:r/>
      <w:bookmarkStart w:id="150" w:name="_Toc151193836"/>
      <w:r/>
      <w:bookmarkStart w:id="151" w:name="_Toc226965712"/>
      <w:r/>
      <w:bookmarkStart w:id="152" w:name="_Toc127151522"/>
      <w:r/>
      <w:bookmarkStart w:id="153" w:name="_Toc151190149"/>
      <w:r/>
      <w:bookmarkStart w:id="154" w:name="_Toc151193620"/>
      <w:r/>
      <w:bookmarkStart w:id="155" w:name="_Toc150509273"/>
      <w:r/>
      <w:bookmarkStart w:id="156" w:name="_Toc264969212"/>
      <w:r>
        <w:rPr>
          <w:sz w:val="28"/>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sz w:val="24"/>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样品</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样品的评审方法以及评审标准等内容见第四章《评标方法和评标标准》。</w:t>
      </w:r>
      <w:r>
        <w:rPr>
          <w:sz w:val="24"/>
          <w:highlight w:val="none"/>
        </w:rPr>
      </w:r>
      <w:r/>
    </w:p>
    <w:p>
      <w:pPr>
        <w:pStyle w:val="825"/>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825"/>
        <w:numPr>
          <w:ilvl w:val="2"/>
          <w:numId w:val="8"/>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825"/>
        <w:numPr>
          <w:ilvl w:val="2"/>
          <w:numId w:val="8"/>
        </w:numPr>
        <w:spacing w:line="360" w:lineRule="auto"/>
        <w:tabs>
          <w:tab w:val="left" w:pos="1980" w:leader="none"/>
        </w:tabs>
        <w:rPr>
          <w:sz w:val="24"/>
          <w:highlight w:val="none"/>
        </w:rPr>
      </w:pPr>
      <w:r>
        <w:rPr>
          <w:sz w:val="24"/>
          <w:highlight w:val="none"/>
        </w:rPr>
        <w:t xml:space="preserve">中小企业定义：</w:t>
      </w:r>
      <w:r>
        <w:rPr>
          <w:sz w:val="24"/>
          <w:highlight w:val="none"/>
        </w:rPr>
      </w:r>
      <w:r/>
    </w:p>
    <w:p>
      <w:pPr>
        <w:pStyle w:val="82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82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rPr>
          <w:color w:val="000000"/>
          <w:sz w:val="24"/>
          <w:highlight w:val="none"/>
        </w:rPr>
      </w:r>
      <w:r/>
    </w:p>
    <w:p>
      <w:pPr>
        <w:pStyle w:val="825"/>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825"/>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825"/>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825"/>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825"/>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825"/>
        <w:numPr>
          <w:ilvl w:val="2"/>
          <w:numId w:val="8"/>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825"/>
        <w:numPr>
          <w:ilvl w:val="2"/>
          <w:numId w:val="8"/>
        </w:numPr>
        <w:spacing w:line="360" w:lineRule="auto"/>
        <w:tabs>
          <w:tab w:val="left" w:pos="1980" w:leader="none"/>
        </w:tabs>
        <w:rPr>
          <w:sz w:val="24"/>
          <w:highlight w:val="none"/>
        </w:rPr>
      </w:pPr>
      <w:r>
        <w:rPr>
          <w:sz w:val="24"/>
          <w:highlight w:val="none"/>
        </w:rPr>
        <w:t xml:space="preserve">残疾人福利单位定义：享受政府采购支持政策的残疾人福利性单位应当同时满足以下条件：</w:t>
      </w:r>
      <w:r>
        <w:rPr>
          <w:sz w:val="24"/>
          <w:highlight w:val="none"/>
        </w:rPr>
      </w:r>
      <w:r/>
    </w:p>
    <w:p>
      <w:pPr>
        <w:pStyle w:val="82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82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rPr>
          <w:color w:val="000000"/>
          <w:sz w:val="24"/>
          <w:highlight w:val="none"/>
        </w:rPr>
      </w:r>
      <w:r/>
    </w:p>
    <w:p>
      <w:pPr>
        <w:pStyle w:val="82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82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82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82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825"/>
        <w:numPr>
          <w:ilvl w:val="2"/>
          <w:numId w:val="8"/>
        </w:numPr>
        <w:spacing w:line="360" w:lineRule="auto"/>
        <w:tabs>
          <w:tab w:val="left" w:pos="1980" w:leader="none"/>
        </w:tabs>
        <w:rPr>
          <w:sz w:val="24"/>
          <w:highlight w:val="none"/>
        </w:rPr>
      </w:pPr>
      <w:r>
        <w:rPr>
          <w:sz w:val="24"/>
          <w:highlight w:val="none"/>
        </w:rPr>
        <w:t xml:space="preserve">本项目是否专门面向中小企业预留采购份额见第一章《投标邀请》。</w:t>
      </w:r>
      <w:r>
        <w:rPr>
          <w:sz w:val="24"/>
          <w:highlight w:val="none"/>
        </w:rPr>
      </w:r>
      <w:r/>
    </w:p>
    <w:p>
      <w:pPr>
        <w:pStyle w:val="825"/>
        <w:numPr>
          <w:ilvl w:val="2"/>
          <w:numId w:val="8"/>
        </w:numPr>
        <w:spacing w:line="360" w:lineRule="auto"/>
        <w:tabs>
          <w:tab w:val="left" w:pos="1980" w:leader="none"/>
        </w:tabs>
        <w:rPr>
          <w:sz w:val="24"/>
          <w:highlight w:val="none"/>
        </w:rPr>
      </w:pPr>
      <w:r>
        <w:rPr>
          <w:sz w:val="24"/>
          <w:highlight w:val="none"/>
        </w:rPr>
        <w:t xml:space="preserve">采购标的对应的中小企业划分标准所属行业见《投标人须知资料表》。</w:t>
      </w:r>
      <w:r>
        <w:rPr>
          <w:sz w:val="24"/>
          <w:highlight w:val="none"/>
        </w:rPr>
      </w:r>
      <w:r/>
    </w:p>
    <w:p>
      <w:pPr>
        <w:pStyle w:val="825"/>
        <w:numPr>
          <w:ilvl w:val="2"/>
          <w:numId w:val="8"/>
        </w:numPr>
        <w:spacing w:line="360" w:lineRule="auto"/>
        <w:tabs>
          <w:tab w:val="left" w:pos="1980" w:leader="none"/>
        </w:tabs>
        <w:rPr>
          <w:sz w:val="24"/>
          <w:highlight w:val="none"/>
        </w:rPr>
      </w:pPr>
      <w:r>
        <w:rPr>
          <w:sz w:val="24"/>
          <w:highlight w:val="none"/>
        </w:rPr>
        <w:t xml:space="preserve">小微企业价格评审优惠的政策调整：见第四章《评标方法和评标标准》。</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825"/>
        <w:numPr>
          <w:ilvl w:val="2"/>
          <w:numId w:val="8"/>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825"/>
        <w:numPr>
          <w:ilvl w:val="2"/>
          <w:numId w:val="8"/>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825"/>
        <w:numPr>
          <w:ilvl w:val="2"/>
          <w:numId w:val="8"/>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w:t>
      </w:r>
      <w:r>
        <w:rPr>
          <w:sz w:val="24"/>
          <w:highlight w:val="none"/>
        </w:rPr>
        <w:t xml:space="preserve">否则</w:t>
      </w:r>
      <w:r>
        <w:rPr>
          <w:b/>
          <w:sz w:val="24"/>
          <w:highlight w:val="none"/>
        </w:rPr>
        <w:t xml:space="preserve">投标无效</w:t>
      </w:r>
      <w:r>
        <w:rPr>
          <w:sz w:val="24"/>
          <w:highlight w:val="none"/>
        </w:rPr>
        <w:t xml:space="preserve">；</w:t>
      </w:r>
      <w:r>
        <w:rPr>
          <w:sz w:val="24"/>
          <w:highlight w:val="none"/>
        </w:rPr>
      </w:r>
      <w:r/>
    </w:p>
    <w:p>
      <w:pPr>
        <w:pStyle w:val="825"/>
        <w:numPr>
          <w:ilvl w:val="2"/>
          <w:numId w:val="8"/>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sz w:val="24"/>
          <w:highlight w:val="none"/>
        </w:rPr>
      </w:r>
      <w:r/>
    </w:p>
    <w:p>
      <w:pPr>
        <w:pStyle w:val="825"/>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825"/>
        <w:numPr>
          <w:ilvl w:val="2"/>
          <w:numId w:val="8"/>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825"/>
        <w:numPr>
          <w:ilvl w:val="2"/>
          <w:numId w:val="8"/>
        </w:numPr>
        <w:spacing w:line="360" w:lineRule="auto"/>
        <w:tabs>
          <w:tab w:val="left" w:pos="1980" w:leader="none"/>
        </w:tabs>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highlight w:val="none"/>
        </w:rPr>
        <w:t xml:space="preserve">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825"/>
        <w:numPr>
          <w:ilvl w:val="2"/>
          <w:numId w:val="8"/>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信息安全产品</w:t>
      </w:r>
      <w:r>
        <w:rPr>
          <w:sz w:val="24"/>
          <w:highlight w:val="none"/>
        </w:rPr>
      </w:r>
      <w:r/>
    </w:p>
    <w:p>
      <w:pPr>
        <w:pStyle w:val="825"/>
        <w:numPr>
          <w:ilvl w:val="2"/>
          <w:numId w:val="8"/>
        </w:numPr>
        <w:spacing w:line="360" w:lineRule="auto"/>
        <w:tabs>
          <w:tab w:val="left" w:pos="1980" w:leader="none"/>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投标无效</w:t>
      </w:r>
      <w:r>
        <w:rPr>
          <w:sz w:val="24"/>
          <w:highlight w:val="none"/>
        </w:rPr>
        <w:t xml:space="preserve">。关于信息安全相关规定依据《关于信息安全产品实施政府采购的通知》（财库〔2010〕48 号）。</w:t>
      </w:r>
      <w:r>
        <w:rPr>
          <w:rFonts w:hint="eastAsia"/>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政府采购创新产品政策</w:t>
      </w:r>
      <w:r>
        <w:rPr>
          <w:rFonts w:hint="eastAsia"/>
          <w:sz w:val="24"/>
          <w:highlight w:val="none"/>
        </w:rPr>
      </w:r>
      <w:r/>
    </w:p>
    <w:p>
      <w:pPr>
        <w:pStyle w:val="825"/>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投标费用</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rPr>
          <w:sz w:val="24"/>
          <w:highlight w:val="none"/>
        </w:rPr>
      </w:r>
      <w:r/>
    </w:p>
    <w:p>
      <w:pPr>
        <w:pStyle w:val="827"/>
        <w:spacing w:before="0" w:line="360" w:lineRule="auto"/>
        <w:rPr>
          <w:rFonts w:ascii="Times New Roman" w:hAnsi="Times New Roman" w:eastAsia="宋体"/>
          <w:sz w:val="28"/>
          <w:highlight w:val="none"/>
        </w:rPr>
      </w:pPr>
      <w:r/>
      <w:bookmarkStart w:id="157" w:name="_1.8_计量单位"/>
      <w:r/>
      <w:bookmarkEnd w:id="157"/>
      <w:r>
        <w:rPr>
          <w:rFonts w:ascii="Times New Roman" w:hAnsi="Times New Roman" w:eastAsia="宋体"/>
          <w:sz w:val="28"/>
          <w:highlight w:val="none"/>
        </w:rPr>
        <w:t xml:space="preserve">二   招标文件</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Pr>
          <w:rFonts w:ascii="Times New Roman" w:hAnsi="Times New Roman" w:eastAsia="宋体"/>
          <w:sz w:val="28"/>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bookmarkStart w:id="158" w:name="_Toc142311025"/>
      <w:r/>
      <w:bookmarkStart w:id="159" w:name="_Toc164351617"/>
      <w:r/>
      <w:bookmarkStart w:id="160" w:name="_Toc150774623"/>
      <w:r/>
      <w:bookmarkStart w:id="161" w:name="_Toc226337219"/>
      <w:r/>
      <w:bookmarkStart w:id="162" w:name="_Toc151193693"/>
      <w:r/>
      <w:bookmarkStart w:id="163" w:name="_Toc226965713"/>
      <w:r/>
      <w:bookmarkStart w:id="164" w:name="_Toc127151523"/>
      <w:r/>
      <w:bookmarkStart w:id="165" w:name="_Toc164229218"/>
      <w:r/>
      <w:bookmarkStart w:id="166" w:name="_Toc520356147"/>
      <w:r/>
      <w:bookmarkStart w:id="167" w:name="_Toc264969213"/>
      <w:r/>
      <w:bookmarkStart w:id="168" w:name="_Toc151190150"/>
      <w:r/>
      <w:bookmarkStart w:id="169" w:name="_Toc149720816"/>
      <w:r/>
      <w:bookmarkStart w:id="170" w:name="_Toc265228361"/>
      <w:r/>
      <w:bookmarkStart w:id="171" w:name="_Toc150509274"/>
      <w:r/>
      <w:bookmarkStart w:id="172" w:name="_Toc151193837"/>
      <w:r/>
      <w:bookmarkStart w:id="173" w:name="_Toc151193765"/>
      <w:r/>
      <w:bookmarkStart w:id="174" w:name="_Toc150480761"/>
      <w:r/>
      <w:bookmarkStart w:id="175" w:name="_Toc151193911"/>
      <w:r/>
      <w:bookmarkStart w:id="176" w:name="_Toc164229364"/>
      <w:r/>
      <w:bookmarkStart w:id="177" w:name="_Toc127151724"/>
      <w:r/>
      <w:bookmarkStart w:id="178" w:name="_Toc164608792"/>
      <w:r/>
      <w:bookmarkStart w:id="179" w:name="_Toc305158791"/>
      <w:r/>
      <w:bookmarkStart w:id="180" w:name="_Toc127161437"/>
      <w:r/>
      <w:bookmarkStart w:id="181" w:name="_Toc164608637"/>
      <w:r/>
      <w:bookmarkStart w:id="182" w:name="_Toc150774728"/>
      <w:r/>
      <w:bookmarkStart w:id="183" w:name="_Toc226965796"/>
      <w:r/>
      <w:bookmarkStart w:id="184" w:name="_Toc195842888"/>
      <w:r/>
      <w:bookmarkStart w:id="185" w:name="_Toc305158865"/>
      <w:r/>
      <w:bookmarkStart w:id="186" w:name="_Toc226309767"/>
      <w:r/>
      <w:bookmarkStart w:id="187" w:name="_Toc151193621"/>
      <w:r>
        <w:rPr>
          <w:sz w:val="24"/>
          <w:highlight w:val="none"/>
        </w:rPr>
        <w:t xml:space="preserve">招标文件构</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Pr>
          <w:sz w:val="24"/>
          <w:highlight w:val="none"/>
        </w:rPr>
        <w:t xml:space="preserve">成</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招标文件包括以下部分：</w:t>
      </w:r>
      <w:r>
        <w:rPr>
          <w:sz w:val="24"/>
          <w:highlight w:val="none"/>
        </w:rPr>
      </w:r>
      <w:r/>
    </w:p>
    <w:p>
      <w:pPr>
        <w:pStyle w:val="82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投标邀请</w:t>
      </w:r>
      <w:r>
        <w:rPr>
          <w:sz w:val="24"/>
          <w:highlight w:val="none"/>
        </w:rPr>
      </w:r>
      <w:r/>
    </w:p>
    <w:p>
      <w:pPr>
        <w:pStyle w:val="82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投标人须知</w:t>
      </w:r>
      <w:r>
        <w:rPr>
          <w:sz w:val="24"/>
          <w:highlight w:val="none"/>
        </w:rPr>
      </w:r>
      <w:r/>
    </w:p>
    <w:p>
      <w:pPr>
        <w:pStyle w:val="82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资格审查</w:t>
      </w:r>
      <w:r>
        <w:rPr>
          <w:sz w:val="24"/>
          <w:highlight w:val="none"/>
        </w:rPr>
      </w:r>
      <w:r/>
    </w:p>
    <w:p>
      <w:pPr>
        <w:pStyle w:val="82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评标程序、评标方法和评标标准</w:t>
      </w:r>
      <w:r>
        <w:rPr>
          <w:sz w:val="24"/>
          <w:highlight w:val="none"/>
        </w:rPr>
      </w:r>
      <w:r/>
    </w:p>
    <w:p>
      <w:pPr>
        <w:pStyle w:val="82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82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拟签订的合同文本</w:t>
      </w:r>
      <w:r>
        <w:rPr>
          <w:sz w:val="24"/>
          <w:highlight w:val="none"/>
        </w:rPr>
      </w:r>
      <w:r/>
    </w:p>
    <w:p>
      <w:pPr>
        <w:pStyle w:val="825"/>
        <w:numPr>
          <w:ilvl w:val="0"/>
          <w:numId w:val="10"/>
        </w:numPr>
        <w:ind w:left="1440" w:firstLine="5"/>
        <w:spacing w:line="360" w:lineRule="auto"/>
        <w:tabs>
          <w:tab w:val="left" w:pos="1980" w:leader="none"/>
          <w:tab w:val="left" w:pos="2520" w:leader="none"/>
          <w:tab w:val="left" w:pos="4941" w:leader="none"/>
        </w:tabs>
        <w:rPr>
          <w:rFonts w:hint="eastAsia"/>
          <w:sz w:val="24"/>
          <w:highlight w:val="none"/>
        </w:rPr>
      </w:pPr>
      <w:r>
        <w:rPr>
          <w:sz w:val="24"/>
          <w:highlight w:val="none"/>
        </w:rPr>
        <w:t xml:space="preserve">投标文件格式</w:t>
      </w:r>
      <w:r>
        <w:rPr>
          <w:rFonts w:hint="eastAsia"/>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rPr>
          <w:sz w:val="24"/>
          <w:highlight w:val="none"/>
        </w:rPr>
      </w:r>
      <w:r/>
    </w:p>
    <w:p>
      <w:pPr>
        <w:pStyle w:val="825"/>
        <w:numPr>
          <w:ilvl w:val="0"/>
          <w:numId w:val="8"/>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对招标文件的澄清或修改</w:t>
      </w:r>
      <w:r>
        <w:rPr>
          <w:sz w:val="24"/>
          <w:highlight w:val="none"/>
        </w:rPr>
      </w:r>
      <w:r/>
    </w:p>
    <w:p>
      <w:pPr>
        <w:pStyle w:val="825"/>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rPr>
          <w:sz w:val="24"/>
          <w:highlight w:val="none"/>
        </w:rPr>
      </w:r>
      <w:r/>
    </w:p>
    <w:p>
      <w:pPr>
        <w:pStyle w:val="825"/>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highlight w:val="none"/>
        </w:rPr>
      </w:r>
      <w:r/>
    </w:p>
    <w:p>
      <w:pPr>
        <w:pStyle w:val="825"/>
        <w:ind w:left="1080"/>
        <w:spacing w:line="360" w:lineRule="auto"/>
        <w:tabs>
          <w:tab w:val="left" w:pos="1080" w:leader="none"/>
          <w:tab w:val="left" w:pos="1561" w:leader="none"/>
        </w:tabs>
        <w:rPr>
          <w:sz w:val="28"/>
          <w:highlight w:val="none"/>
        </w:rPr>
      </w:pPr>
      <w:r/>
      <w:bookmarkStart w:id="188" w:name="_Toc151193768"/>
      <w:r/>
      <w:bookmarkStart w:id="189" w:name="_Toc151193696"/>
      <w:r/>
      <w:bookmarkStart w:id="190" w:name="_Toc226337222"/>
      <w:r/>
      <w:bookmarkStart w:id="191" w:name="_Toc151193914"/>
      <w:r/>
      <w:bookmarkStart w:id="192" w:name="_Toc226965799"/>
      <w:r/>
      <w:bookmarkStart w:id="193" w:name="_Toc226965716"/>
      <w:r/>
      <w:bookmarkStart w:id="194" w:name="_Toc142311028"/>
      <w:r/>
      <w:bookmarkStart w:id="195" w:name="_Toc150480764"/>
      <w:r/>
      <w:bookmarkStart w:id="196" w:name="_Toc305158868"/>
      <w:r/>
      <w:bookmarkStart w:id="197" w:name="_Toc150774626"/>
      <w:r/>
      <w:bookmarkStart w:id="198" w:name="_Toc150774731"/>
      <w:r/>
      <w:bookmarkStart w:id="199" w:name="_Toc150509277"/>
      <w:r/>
      <w:bookmarkStart w:id="200" w:name="_Toc305158794"/>
      <w:r/>
      <w:bookmarkStart w:id="201" w:name="_Toc516367020"/>
      <w:r/>
      <w:bookmarkStart w:id="202" w:name="_Toc265228364"/>
      <w:r/>
      <w:bookmarkStart w:id="203" w:name="_Toc520356150"/>
      <w:r/>
      <w:bookmarkStart w:id="204" w:name="_Toc226309770"/>
      <w:r/>
      <w:bookmarkStart w:id="205" w:name="_Toc127151526"/>
      <w:r/>
      <w:bookmarkStart w:id="206" w:name="_Toc151193840"/>
      <w:r/>
      <w:bookmarkStart w:id="207" w:name="_Toc151193624"/>
      <w:r/>
      <w:bookmarkStart w:id="208" w:name="_Toc195842891"/>
      <w:r/>
      <w:bookmarkStart w:id="209" w:name="_Toc151190153"/>
      <w:r/>
      <w:bookmarkStart w:id="210" w:name="_Toc264969216"/>
      <w:r>
        <w:rPr>
          <w:sz w:val="28"/>
          <w:highlight w:val="none"/>
        </w:rPr>
      </w:r>
      <w:r/>
    </w:p>
    <w:p>
      <w:pPr>
        <w:pStyle w:val="827"/>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201"/>
      <w:r>
        <w:rPr>
          <w:rFonts w:ascii="Times New Roman" w:hAnsi="Times New Roman" w:eastAsia="宋体"/>
          <w:sz w:val="28"/>
          <w:highlight w:val="none"/>
        </w:rPr>
        <w:t xml:space="preserve">的编制</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2"/>
      <w:r/>
      <w:bookmarkEnd w:id="203"/>
      <w:r/>
      <w:bookmarkEnd w:id="204"/>
      <w:r/>
      <w:bookmarkEnd w:id="205"/>
      <w:r/>
      <w:bookmarkEnd w:id="206"/>
      <w:r/>
      <w:bookmarkEnd w:id="207"/>
      <w:r/>
      <w:bookmarkEnd w:id="208"/>
      <w:r/>
      <w:bookmarkEnd w:id="209"/>
      <w:r/>
      <w:bookmarkEnd w:id="210"/>
      <w:r>
        <w:rPr>
          <w:rFonts w:ascii="Times New Roman" w:hAnsi="Times New Roman" w:eastAsia="宋体"/>
          <w:sz w:val="28"/>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bookmarkStart w:id="211" w:name="_Toc127151527"/>
      <w:r/>
      <w:bookmarkStart w:id="212" w:name="_Toc150509278"/>
      <w:r/>
      <w:bookmarkStart w:id="213" w:name="_Toc150774627"/>
      <w:r/>
      <w:bookmarkStart w:id="214" w:name="_Toc305158869"/>
      <w:r/>
      <w:bookmarkStart w:id="215" w:name="_Toc164608796"/>
      <w:r/>
      <w:bookmarkStart w:id="216" w:name="_Toc150480765"/>
      <w:r/>
      <w:bookmarkStart w:id="217" w:name="_Toc151193841"/>
      <w:r/>
      <w:bookmarkStart w:id="218" w:name="_Toc226337223"/>
      <w:r/>
      <w:bookmarkStart w:id="219" w:name="_Toc164229368"/>
      <w:r/>
      <w:bookmarkStart w:id="220" w:name="_Toc151193697"/>
      <w:r/>
      <w:bookmarkStart w:id="221" w:name="_Toc142311029"/>
      <w:r/>
      <w:bookmarkStart w:id="222" w:name="_Toc127151728"/>
      <w:r/>
      <w:bookmarkStart w:id="223" w:name="_Toc151193625"/>
      <w:r/>
      <w:bookmarkStart w:id="224" w:name="_Toc195842892"/>
      <w:r/>
      <w:bookmarkStart w:id="225" w:name="_Toc151193769"/>
      <w:r/>
      <w:bookmarkStart w:id="226" w:name="_Toc149720820"/>
      <w:r/>
      <w:bookmarkStart w:id="227" w:name="_Toc520356151"/>
      <w:r/>
      <w:bookmarkStart w:id="228" w:name="_Toc264969217"/>
      <w:r/>
      <w:bookmarkStart w:id="229" w:name="_Toc516367021"/>
      <w:r/>
      <w:bookmarkStart w:id="230" w:name="_Toc127161441"/>
      <w:r/>
      <w:bookmarkStart w:id="231" w:name="_Toc164351621"/>
      <w:r/>
      <w:bookmarkStart w:id="232" w:name="_Toc151190154"/>
      <w:r/>
      <w:bookmarkStart w:id="233" w:name="_Toc164608641"/>
      <w:r/>
      <w:bookmarkStart w:id="234" w:name="_Toc265228365"/>
      <w:r/>
      <w:bookmarkStart w:id="235" w:name="_Toc150774732"/>
      <w:r/>
      <w:bookmarkStart w:id="236" w:name="_Toc151193915"/>
      <w:r/>
      <w:bookmarkStart w:id="237" w:name="_Toc164229222"/>
      <w:r/>
      <w:bookmarkStart w:id="238" w:name="_Toc226309771"/>
      <w:r/>
      <w:bookmarkStart w:id="239" w:name="_Toc226965800"/>
      <w:r/>
      <w:bookmarkStart w:id="240" w:name="_Toc305158795"/>
      <w:r/>
      <w:bookmarkStart w:id="241" w:name="_Toc226965717"/>
      <w:r>
        <w:rPr>
          <w:sz w:val="24"/>
          <w:highlight w:val="none"/>
        </w:rPr>
        <w:t xml:space="preserve">投标范围、投标文件中计量单位的使用</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Pr>
          <w:sz w:val="24"/>
          <w:highlight w:val="none"/>
        </w:rPr>
        <w:t xml:space="preserve">及投标语言</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bookmarkStart w:id="242" w:name="_Toc226965718"/>
      <w:r/>
      <w:bookmarkStart w:id="243" w:name="_Toc195842893"/>
      <w:r/>
      <w:bookmarkStart w:id="244" w:name="_Toc151193916"/>
      <w:r/>
      <w:bookmarkStart w:id="245" w:name="_Toc150480766"/>
      <w:r/>
      <w:bookmarkStart w:id="246" w:name="_Toc151193770"/>
      <w:r/>
      <w:bookmarkStart w:id="247" w:name="_Toc164608797"/>
      <w:r/>
      <w:bookmarkStart w:id="248" w:name="_Toc142311030"/>
      <w:r/>
      <w:bookmarkStart w:id="249" w:name="_Ref467306195"/>
      <w:r/>
      <w:bookmarkStart w:id="250" w:name="_Ref467306676"/>
      <w:r/>
      <w:bookmarkStart w:id="251" w:name="_Toc516367022"/>
      <w:r/>
      <w:bookmarkStart w:id="252" w:name="_Toc164229223"/>
      <w:r/>
      <w:bookmarkStart w:id="253" w:name="_Toc150509279"/>
      <w:r/>
      <w:bookmarkStart w:id="254" w:name="_Toc226309772"/>
      <w:r/>
      <w:bookmarkStart w:id="255" w:name="_Toc305158870"/>
      <w:r/>
      <w:bookmarkStart w:id="256" w:name="_Toc127151729"/>
      <w:r/>
      <w:bookmarkStart w:id="257" w:name="_Toc164229369"/>
      <w:r/>
      <w:bookmarkStart w:id="258" w:name="_Toc150774628"/>
      <w:r/>
      <w:bookmarkStart w:id="259" w:name="_Toc226337224"/>
      <w:r/>
      <w:bookmarkStart w:id="260" w:name="_Toc151193626"/>
      <w:r/>
      <w:bookmarkStart w:id="261" w:name="_Toc520356152"/>
      <w:r/>
      <w:bookmarkStart w:id="262" w:name="_Toc226965801"/>
      <w:r/>
      <w:bookmarkStart w:id="263" w:name="_Toc151193698"/>
      <w:r/>
      <w:bookmarkStart w:id="264" w:name="_Toc265228366"/>
      <w:r/>
      <w:bookmarkStart w:id="265" w:name="_Toc127161442"/>
      <w:r/>
      <w:bookmarkStart w:id="266" w:name="_Toc151190155"/>
      <w:r/>
      <w:bookmarkStart w:id="267" w:name="_Toc150774733"/>
      <w:r/>
      <w:bookmarkStart w:id="268" w:name="_Toc149720821"/>
      <w:r/>
      <w:bookmarkStart w:id="269" w:name="_Toc164608642"/>
      <w:r/>
      <w:bookmarkStart w:id="270" w:name="_Toc127151528"/>
      <w:r/>
      <w:bookmarkStart w:id="271" w:name="_Toc264969218"/>
      <w:r/>
      <w:bookmarkStart w:id="272" w:name="_Toc164351622"/>
      <w:r/>
      <w:bookmarkStart w:id="273" w:name="_Toc151193842"/>
      <w:r/>
      <w:bookmarkStart w:id="274" w:name="_Toc305158796"/>
      <w:r>
        <w:rPr>
          <w:sz w:val="24"/>
          <w:highlight w:val="none"/>
        </w:rPr>
        <w:t xml:space="preserve">投标文件</w:t>
      </w:r>
      <w:bookmarkEnd w:id="249"/>
      <w:r/>
      <w:bookmarkEnd w:id="250"/>
      <w:r/>
      <w:bookmarkEnd w:id="251"/>
      <w:r>
        <w:rPr>
          <w:sz w:val="24"/>
          <w:highlight w:val="none"/>
        </w:rPr>
        <w:t xml:space="preserve">构成</w:t>
      </w:r>
      <w:bookmarkEnd w:id="242"/>
      <w:r/>
      <w:bookmarkEnd w:id="243"/>
      <w:r/>
      <w:bookmarkEnd w:id="244"/>
      <w:r/>
      <w:bookmarkEnd w:id="245"/>
      <w:r/>
      <w:bookmarkEnd w:id="246"/>
      <w:r/>
      <w:bookmarkEnd w:id="247"/>
      <w:r/>
      <w:bookmarkEnd w:id="248"/>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275"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第四章《评标程序、评标方法和评标标准》中涉及的证明文件。</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投标人认为应附的其他材料。</w:t>
      </w:r>
      <w:bookmarkEnd w:id="275"/>
      <w:r>
        <w:rPr>
          <w:sz w:val="24"/>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bookmarkStart w:id="276" w:name="_Toc164608799"/>
      <w:r/>
      <w:bookmarkStart w:id="277" w:name="_Toc151190157"/>
      <w:r/>
      <w:bookmarkStart w:id="278" w:name="_Toc164229371"/>
      <w:r/>
      <w:bookmarkStart w:id="279" w:name="_Toc164608644"/>
      <w:r/>
      <w:bookmarkStart w:id="280" w:name="_Toc150509281"/>
      <w:r/>
      <w:bookmarkStart w:id="281" w:name="_Toc520356155"/>
      <w:r/>
      <w:bookmarkStart w:id="282" w:name="_Toc151193772"/>
      <w:r/>
      <w:bookmarkStart w:id="283" w:name="_Toc150774630"/>
      <w:r/>
      <w:bookmarkStart w:id="284" w:name="_Toc127151731"/>
      <w:r/>
      <w:bookmarkStart w:id="285" w:name="_Toc164351624"/>
      <w:r/>
      <w:bookmarkStart w:id="286" w:name="_Toc151193628"/>
      <w:r/>
      <w:bookmarkStart w:id="287" w:name="_Toc149720823"/>
      <w:r/>
      <w:bookmarkStart w:id="288" w:name="_Toc150774735"/>
      <w:r/>
      <w:bookmarkStart w:id="289" w:name="_Toc150480768"/>
      <w:r/>
      <w:bookmarkStart w:id="290" w:name="_Toc151193844"/>
      <w:r/>
      <w:bookmarkStart w:id="291" w:name="_Toc127161444"/>
      <w:r/>
      <w:bookmarkStart w:id="292" w:name="_Toc127151530"/>
      <w:r/>
      <w:bookmarkStart w:id="293" w:name="_Toc164229225"/>
      <w:r/>
      <w:bookmarkStart w:id="294" w:name="_Toc195842895"/>
      <w:r/>
      <w:bookmarkStart w:id="295" w:name="_Toc151193700"/>
      <w:r/>
      <w:bookmarkStart w:id="296" w:name="_Toc142311032"/>
      <w:r/>
      <w:bookmarkStart w:id="297" w:name="_Toc151193918"/>
      <w:r>
        <w:rPr>
          <w:sz w:val="24"/>
          <w:highlight w:val="none"/>
        </w:rPr>
        <w:t xml:space="preserve">投标报价</w:t>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所有投标均以人民币报价。</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rPr>
          <w:sz w:val="24"/>
          <w:highlight w:val="none"/>
        </w:rPr>
      </w:r>
      <w:r/>
    </w:p>
    <w:p>
      <w:pPr>
        <w:pStyle w:val="825"/>
        <w:numPr>
          <w:ilvl w:val="2"/>
          <w:numId w:val="8"/>
        </w:numPr>
        <w:spacing w:line="360" w:lineRule="auto"/>
        <w:tabs>
          <w:tab w:val="left" w:pos="1980" w:leader="none"/>
        </w:tabs>
        <w:rPr>
          <w:sz w:val="24"/>
          <w:highlight w:val="none"/>
        </w:rPr>
      </w:pPr>
      <w:r>
        <w:rPr>
          <w:rFonts w:hint="eastAsia"/>
          <w:sz w:val="24"/>
          <w:highlight w:val="none"/>
        </w:rPr>
        <w:t xml:space="preserve">报价</w:t>
      </w:r>
      <w:r>
        <w:rPr>
          <w:rFonts w:hint="eastAsia" w:ascii="宋体" w:hAnsi="宋体"/>
          <w:bCs/>
          <w:color w:val="000000"/>
          <w:sz w:val="24"/>
          <w:highlight w:val="none"/>
        </w:rPr>
        <w:t xml:space="preserve">包含但不限于所有人员的工资、福利、各项法定社会保险（不得以其他保险来代替法定的社会保险，国家法定社保指：养老保险、医疗保险、失业保险、生育保险、工伤保险），高温费、装备工具、食宿、物品和物品损耗、</w:t>
      </w:r>
      <w:r>
        <w:rPr>
          <w:rFonts w:hint="eastAsia" w:ascii="宋体" w:hAnsi="宋体"/>
          <w:sz w:val="24"/>
          <w:highlight w:val="none"/>
          <w:lang w:val="en-US" w:eastAsia="zh-CN"/>
        </w:rPr>
        <w:t xml:space="preserve">洗扫</w:t>
      </w:r>
      <w:r>
        <w:rPr>
          <w:rFonts w:hint="eastAsia" w:ascii="宋体" w:hAnsi="宋体"/>
          <w:sz w:val="24"/>
          <w:highlight w:val="none"/>
        </w:rPr>
        <w:t xml:space="preserve">产生垃圾清理及处置费用</w:t>
      </w:r>
      <w:r>
        <w:rPr>
          <w:rFonts w:hint="eastAsia" w:ascii="宋体" w:hAnsi="宋体"/>
          <w:bCs/>
          <w:color w:val="000000"/>
          <w:sz w:val="24"/>
          <w:highlight w:val="none"/>
        </w:rPr>
        <w:t xml:space="preserve">，以及管理、劳务、培训、利润、税金、风险及政策性文件规定的其它各种费用中的数项，以及为完成招标文件规定的各项管理工作所涉及到的一切相关费用。</w:t>
      </w:r>
      <w:r>
        <w:rPr>
          <w:sz w:val="24"/>
          <w:highlight w:val="none"/>
        </w:rPr>
      </w:r>
      <w:r/>
    </w:p>
    <w:p>
      <w:pPr>
        <w:pStyle w:val="825"/>
        <w:numPr>
          <w:ilvl w:val="2"/>
          <w:numId w:val="8"/>
        </w:numPr>
        <w:spacing w:line="360" w:lineRule="auto"/>
        <w:tabs>
          <w:tab w:val="left" w:pos="1980" w:leader="none"/>
        </w:tabs>
        <w:rPr>
          <w:sz w:val="24"/>
          <w:highlight w:val="none"/>
        </w:rPr>
      </w:pPr>
      <w:r>
        <w:rPr>
          <w:sz w:val="24"/>
          <w:highlight w:val="none"/>
        </w:rPr>
        <w:t xml:space="preserve">按照招标文件要求完成本项目的全部相关服务费用。</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rPr>
          <w:sz w:val="24"/>
          <w:highlight w:val="none"/>
        </w:rPr>
      </w:r>
      <w:r/>
    </w:p>
    <w:p>
      <w:pPr>
        <w:pStyle w:val="82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rPr>
          <w:sz w:val="24"/>
          <w:highlight w:val="none"/>
        </w:rPr>
      </w:r>
      <w:r/>
    </w:p>
    <w:p>
      <w:pPr>
        <w:pStyle w:val="825"/>
        <w:numPr>
          <w:ilvl w:val="0"/>
          <w:numId w:val="8"/>
        </w:numPr>
        <w:ind w:left="357" w:hanging="357"/>
        <w:spacing w:line="360" w:lineRule="auto"/>
        <w:tabs>
          <w:tab w:val="left" w:pos="360" w:leader="none"/>
          <w:tab w:val="left" w:pos="900" w:leader="none"/>
        </w:tabs>
        <w:rPr>
          <w:rFonts w:hint="eastAsia"/>
          <w:sz w:val="24"/>
          <w:highlight w:val="none"/>
        </w:rPr>
        <w:outlineLvl w:val="1"/>
      </w:pPr>
      <w:r/>
      <w:bookmarkStart w:id="298" w:name="_Toc195842896"/>
      <w:r/>
      <w:bookmarkStart w:id="299" w:name="_Toc305158873"/>
      <w:r/>
      <w:bookmarkStart w:id="300" w:name="_Toc149720824"/>
      <w:r/>
      <w:bookmarkStart w:id="301" w:name="_Toc150480769"/>
      <w:r/>
      <w:bookmarkStart w:id="302" w:name="_Toc151193629"/>
      <w:r/>
      <w:bookmarkStart w:id="303" w:name="_Toc164229226"/>
      <w:r/>
      <w:bookmarkStart w:id="304" w:name="_Toc226965721"/>
      <w:r/>
      <w:bookmarkStart w:id="305" w:name="_Toc226309775"/>
      <w:r/>
      <w:bookmarkStart w:id="306" w:name="_Toc151193845"/>
      <w:r/>
      <w:bookmarkStart w:id="307" w:name="_Toc520356156"/>
      <w:r/>
      <w:bookmarkStart w:id="308" w:name="_Toc264969221"/>
      <w:r/>
      <w:bookmarkStart w:id="309" w:name="_Toc151193919"/>
      <w:r/>
      <w:bookmarkStart w:id="310" w:name="_Toc150509282"/>
      <w:r/>
      <w:bookmarkStart w:id="311" w:name="_Toc127151531"/>
      <w:r/>
      <w:bookmarkStart w:id="312" w:name="_Toc127161445"/>
      <w:r/>
      <w:bookmarkStart w:id="313" w:name="_Toc127151732"/>
      <w:r/>
      <w:bookmarkStart w:id="314" w:name="_Toc164229372"/>
      <w:r/>
      <w:bookmarkStart w:id="315" w:name="_Toc151193701"/>
      <w:r/>
      <w:bookmarkStart w:id="316" w:name="_Ref467306513"/>
      <w:r/>
      <w:bookmarkStart w:id="317" w:name="_Toc151190158"/>
      <w:r/>
      <w:bookmarkStart w:id="318" w:name="_Toc226965804"/>
      <w:r/>
      <w:bookmarkStart w:id="319" w:name="_Toc164351625"/>
      <w:r/>
      <w:bookmarkStart w:id="320" w:name="_Toc164608800"/>
      <w:r/>
      <w:bookmarkStart w:id="321" w:name="_Toc265228369"/>
      <w:r/>
      <w:bookmarkStart w:id="322" w:name="_Toc150774631"/>
      <w:r/>
      <w:bookmarkStart w:id="323" w:name="_Toc164608645"/>
      <w:r/>
      <w:bookmarkStart w:id="324" w:name="_Toc226337227"/>
      <w:r/>
      <w:bookmarkStart w:id="325" w:name="_Toc151193773"/>
      <w:r/>
      <w:bookmarkStart w:id="326" w:name="_Toc142311033"/>
      <w:r/>
      <w:bookmarkStart w:id="327" w:name="_Toc305158799"/>
      <w:r/>
      <w:bookmarkStart w:id="328" w:name="_Toc150774736"/>
      <w:r>
        <w:rPr>
          <w:sz w:val="24"/>
          <w:highlight w:val="none"/>
        </w:rPr>
        <w:t xml:space="preserve">投标保证金</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Pr>
          <w:rFonts w:hint="eastAsia"/>
          <w:sz w:val="24"/>
          <w:highlight w:val="none"/>
        </w:rPr>
      </w:r>
      <w:r/>
    </w:p>
    <w:p>
      <w:pPr>
        <w:pStyle w:val="825"/>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rPr>
          <w:sz w:val="24"/>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bookmarkStart w:id="329" w:name="_Toc142311034"/>
      <w:r/>
      <w:bookmarkStart w:id="330" w:name="_Toc150774737"/>
      <w:r/>
      <w:bookmarkStart w:id="331" w:name="_Toc150480770"/>
      <w:r/>
      <w:bookmarkStart w:id="332" w:name="_Toc127151532"/>
      <w:r/>
      <w:bookmarkStart w:id="333" w:name="_Toc264969222"/>
      <w:r/>
      <w:bookmarkStart w:id="334" w:name="_Toc149720825"/>
      <w:r/>
      <w:bookmarkStart w:id="335" w:name="_Toc226965722"/>
      <w:r/>
      <w:bookmarkStart w:id="336" w:name="_Toc151193630"/>
      <w:r/>
      <w:bookmarkStart w:id="337" w:name="_Toc226337228"/>
      <w:r/>
      <w:bookmarkStart w:id="338" w:name="_Toc151190159"/>
      <w:r/>
      <w:bookmarkStart w:id="339" w:name="_Toc151193774"/>
      <w:r/>
      <w:bookmarkStart w:id="340" w:name="_Toc164608646"/>
      <w:r/>
      <w:bookmarkStart w:id="341" w:name="_Toc164229373"/>
      <w:r/>
      <w:bookmarkStart w:id="342" w:name="_Toc164351626"/>
      <w:r/>
      <w:bookmarkStart w:id="343" w:name="_Toc305158874"/>
      <w:r/>
      <w:bookmarkStart w:id="344" w:name="_Toc151193702"/>
      <w:r/>
      <w:bookmarkStart w:id="345" w:name="_Toc127151733"/>
      <w:r/>
      <w:bookmarkStart w:id="346" w:name="_Toc150509283"/>
      <w:r/>
      <w:bookmarkStart w:id="347" w:name="_Toc520356157"/>
      <w:r/>
      <w:bookmarkStart w:id="348" w:name="_Toc150774632"/>
      <w:r/>
      <w:bookmarkStart w:id="349" w:name="_Toc226965805"/>
      <w:r/>
      <w:bookmarkStart w:id="350" w:name="_Toc151193920"/>
      <w:r/>
      <w:bookmarkStart w:id="351" w:name="_Toc226309776"/>
      <w:r/>
      <w:bookmarkStart w:id="352" w:name="_Toc164229227"/>
      <w:r/>
      <w:bookmarkStart w:id="353" w:name="_Toc265228370"/>
      <w:r/>
      <w:bookmarkStart w:id="354" w:name="_Toc127161446"/>
      <w:r/>
      <w:bookmarkStart w:id="355" w:name="_Toc164608801"/>
      <w:r/>
      <w:bookmarkStart w:id="356" w:name="_Toc151193846"/>
      <w:r/>
      <w:bookmarkStart w:id="357" w:name="_Toc195842897"/>
      <w:r/>
      <w:bookmarkStart w:id="358" w:name="_Toc305158800"/>
      <w:r>
        <w:rPr>
          <w:sz w:val="24"/>
          <w:highlight w:val="none"/>
        </w:rPr>
        <w:t xml:space="preserve">投标有效期</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rPr>
          <w:sz w:val="24"/>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bookmarkStart w:id="359" w:name="_Toc195842898"/>
      <w:r/>
      <w:bookmarkStart w:id="360" w:name="_Toc150774633"/>
      <w:r/>
      <w:bookmarkStart w:id="361" w:name="_Toc127161447"/>
      <w:r/>
      <w:bookmarkStart w:id="362" w:name="_Toc164229374"/>
      <w:r/>
      <w:bookmarkStart w:id="363" w:name="_Toc265228371"/>
      <w:r/>
      <w:bookmarkStart w:id="364" w:name="_Toc226965806"/>
      <w:r/>
      <w:bookmarkStart w:id="365" w:name="_Toc164608802"/>
      <w:r/>
      <w:bookmarkStart w:id="366" w:name="_Toc149720826"/>
      <w:r/>
      <w:bookmarkStart w:id="367" w:name="_Toc520356158"/>
      <w:r/>
      <w:bookmarkStart w:id="368" w:name="_Toc164229228"/>
      <w:r/>
      <w:bookmarkStart w:id="369" w:name="_Toc150774738"/>
      <w:r/>
      <w:bookmarkStart w:id="370" w:name="_Toc226309777"/>
      <w:r/>
      <w:bookmarkStart w:id="371" w:name="_Toc150509284"/>
      <w:r/>
      <w:bookmarkStart w:id="372" w:name="_Toc151193847"/>
      <w:r/>
      <w:bookmarkStart w:id="373" w:name="_Toc164351627"/>
      <w:r/>
      <w:bookmarkStart w:id="374" w:name="_Toc142311035"/>
      <w:r/>
      <w:bookmarkStart w:id="375" w:name="_Toc151190160"/>
      <w:r/>
      <w:bookmarkStart w:id="376" w:name="_Toc226965723"/>
      <w:r/>
      <w:bookmarkStart w:id="377" w:name="_Toc151193921"/>
      <w:r/>
      <w:bookmarkStart w:id="378" w:name="_Toc151193703"/>
      <w:r/>
      <w:bookmarkStart w:id="379" w:name="_Toc127151734"/>
      <w:r/>
      <w:bookmarkStart w:id="380" w:name="_Toc305158875"/>
      <w:r/>
      <w:bookmarkStart w:id="381" w:name="_Toc150480771"/>
      <w:r/>
      <w:bookmarkStart w:id="382" w:name="_Toc305158801"/>
      <w:r/>
      <w:bookmarkStart w:id="383" w:name="_Toc151193631"/>
      <w:r/>
      <w:bookmarkStart w:id="384" w:name="_Toc164608647"/>
      <w:r/>
      <w:bookmarkStart w:id="385" w:name="_Toc226337229"/>
      <w:r/>
      <w:bookmarkStart w:id="386" w:name="_Toc151193775"/>
      <w:r/>
      <w:bookmarkStart w:id="387" w:name="_Toc264969223"/>
      <w:r/>
      <w:bookmarkStart w:id="388" w:name="_Toc127151533"/>
      <w:r>
        <w:rPr>
          <w:sz w:val="24"/>
          <w:highlight w:val="none"/>
        </w:rPr>
        <w:t xml:space="preserve">投标文件的签署</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Pr>
          <w:sz w:val="24"/>
          <w:highlight w:val="none"/>
        </w:rPr>
        <w:t xml:space="preserve">、加盖公章</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389" w:name="_Toc151190161"/>
      <w:r/>
      <w:bookmarkStart w:id="390" w:name="_Toc305158876"/>
      <w:r/>
      <w:bookmarkStart w:id="391" w:name="_Toc151193922"/>
      <w:r/>
      <w:bookmarkStart w:id="392" w:name="_Toc151193776"/>
      <w:r/>
      <w:bookmarkStart w:id="393" w:name="_Toc150774634"/>
      <w:r/>
      <w:bookmarkStart w:id="394" w:name="_Toc150480772"/>
      <w:r/>
      <w:bookmarkStart w:id="395" w:name="_Toc151193632"/>
      <w:r/>
      <w:bookmarkStart w:id="396" w:name="_Toc142311036"/>
      <w:r/>
      <w:bookmarkStart w:id="397" w:name="_Toc265228372"/>
      <w:r/>
      <w:bookmarkStart w:id="398" w:name="_Toc151193848"/>
      <w:r/>
      <w:bookmarkStart w:id="399" w:name="_Toc226965807"/>
      <w:r/>
      <w:bookmarkStart w:id="400" w:name="_Toc127151534"/>
      <w:r/>
      <w:bookmarkStart w:id="401" w:name="_Toc264969224"/>
      <w:r/>
      <w:bookmarkStart w:id="402" w:name="_Toc151193704"/>
      <w:r/>
      <w:bookmarkStart w:id="403" w:name="_Toc226337230"/>
      <w:r/>
      <w:bookmarkStart w:id="404" w:name="_Toc520356159"/>
      <w:r/>
      <w:bookmarkStart w:id="405" w:name="_Toc305158802"/>
      <w:r/>
      <w:bookmarkStart w:id="406" w:name="_Toc226965724"/>
      <w:r/>
      <w:bookmarkStart w:id="407" w:name="_Toc195842899"/>
      <w:r/>
      <w:bookmarkStart w:id="408" w:name="_Toc226309778"/>
      <w:r/>
      <w:bookmarkStart w:id="409" w:name="_Toc150774739"/>
      <w:r/>
      <w:bookmarkStart w:id="410" w:name="_Toc150509285"/>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rPr>
          <w:sz w:val="24"/>
          <w:highlight w:val="none"/>
        </w:rPr>
      </w:r>
      <w:r/>
    </w:p>
    <w:p>
      <w:pPr>
        <w:pStyle w:val="825"/>
        <w:ind w:left="357"/>
        <w:spacing w:line="360" w:lineRule="auto"/>
        <w:tabs>
          <w:tab w:val="left" w:pos="900" w:leader="none"/>
          <w:tab w:val="left" w:pos="1080" w:leader="none"/>
        </w:tabs>
        <w:rPr>
          <w:highlight w:val="none"/>
        </w:rPr>
      </w:pPr>
      <w:r>
        <w:rPr>
          <w:highlight w:val="none"/>
        </w:rPr>
      </w:r>
      <w:r/>
    </w:p>
    <w:p>
      <w:pPr>
        <w:pStyle w:val="827"/>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Pr>
          <w:rFonts w:ascii="Times New Roman" w:hAnsi="Times New Roman" w:eastAsia="宋体"/>
          <w:sz w:val="28"/>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bookmarkStart w:id="411" w:name="_Toc127161449"/>
      <w:r/>
      <w:bookmarkStart w:id="412" w:name="_Toc164229230"/>
      <w:r/>
      <w:bookmarkStart w:id="413" w:name="_Toc265228373"/>
      <w:r/>
      <w:bookmarkStart w:id="414" w:name="_Toc151193705"/>
      <w:r/>
      <w:bookmarkStart w:id="415" w:name="_Toc520356160"/>
      <w:r/>
      <w:bookmarkStart w:id="416" w:name="_Toc164608649"/>
      <w:r/>
      <w:bookmarkStart w:id="417" w:name="_Toc149720828"/>
      <w:r/>
      <w:bookmarkStart w:id="418" w:name="_Toc164608804"/>
      <w:r/>
      <w:bookmarkStart w:id="419" w:name="_Toc305158803"/>
      <w:r/>
      <w:bookmarkStart w:id="420" w:name="_Toc150480773"/>
      <w:r/>
      <w:bookmarkStart w:id="421" w:name="_Toc151193777"/>
      <w:r/>
      <w:bookmarkStart w:id="422" w:name="_Toc195842900"/>
      <w:r/>
      <w:bookmarkStart w:id="423" w:name="_Toc127151535"/>
      <w:r/>
      <w:bookmarkStart w:id="424" w:name="_Toc305158877"/>
      <w:r/>
      <w:bookmarkStart w:id="425" w:name="_Toc150509286"/>
      <w:r/>
      <w:bookmarkStart w:id="426" w:name="_Toc226965808"/>
      <w:r/>
      <w:bookmarkStart w:id="427" w:name="_Toc151193923"/>
      <w:r/>
      <w:bookmarkStart w:id="428" w:name="_Toc164351629"/>
      <w:r/>
      <w:bookmarkStart w:id="429" w:name="_Toc226309779"/>
      <w:r/>
      <w:bookmarkStart w:id="430" w:name="_Toc151193633"/>
      <w:r/>
      <w:bookmarkStart w:id="431" w:name="_Toc127151736"/>
      <w:r/>
      <w:bookmarkStart w:id="432" w:name="_Toc226965725"/>
      <w:r/>
      <w:bookmarkStart w:id="433" w:name="_Toc226337231"/>
      <w:r/>
      <w:bookmarkStart w:id="434" w:name="_Toc151190162"/>
      <w:r/>
      <w:bookmarkStart w:id="435" w:name="_Toc142311037"/>
      <w:r/>
      <w:bookmarkStart w:id="436" w:name="_Toc150774740"/>
      <w:r/>
      <w:bookmarkStart w:id="437" w:name="_Toc151193849"/>
      <w:r/>
      <w:bookmarkStart w:id="438" w:name="_Toc150774635"/>
      <w:r/>
      <w:bookmarkStart w:id="439" w:name="_Toc264969225"/>
      <w:r/>
      <w:bookmarkStart w:id="440" w:name="_Toc164229376"/>
      <w:r>
        <w:rPr>
          <w:sz w:val="24"/>
          <w:highlight w:val="none"/>
        </w:rPr>
        <w:t xml:space="preserve">投标文件的</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Pr>
          <w:sz w:val="24"/>
          <w:highlight w:val="none"/>
        </w:rPr>
        <w:t xml:space="preserve">提交</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rFonts w:hint="eastAsia"/>
          <w:sz w:val="24"/>
          <w:highlight w:val="none"/>
          <w:lang w:bidi="ar"/>
        </w:rPr>
        <w:t xml:space="preserve">政府采购一体化平台“苏采云”</w:t>
      </w:r>
      <w:r>
        <w:rPr>
          <w:sz w:val="24"/>
          <w:highlight w:val="none"/>
        </w:rPr>
        <w:t xml:space="preserve">。投标人根据招标文件及</w:t>
      </w:r>
      <w:r>
        <w:rPr>
          <w:rFonts w:hint="eastAsia"/>
          <w:sz w:val="24"/>
          <w:highlight w:val="none"/>
          <w:lang w:bidi="ar"/>
        </w:rPr>
        <w:t xml:space="preserve">政府采购一体化平台“苏采云”</w:t>
      </w:r>
      <w:r>
        <w:rPr>
          <w:sz w:val="24"/>
          <w:highlight w:val="none"/>
        </w:rPr>
        <w:t xml:space="preserve">供应商操作手册要求编制、生成并提交电子投标文件。</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w:t>
      </w:r>
      <w:r>
        <w:rPr>
          <w:rFonts w:hint="eastAsia"/>
          <w:sz w:val="24"/>
          <w:highlight w:val="none"/>
        </w:rPr>
        <w:t xml:space="preserve">政府采购一体化平台“苏采云”</w:t>
      </w:r>
      <w:r>
        <w:rPr>
          <w:sz w:val="24"/>
          <w:highlight w:val="none"/>
        </w:rPr>
        <w:t xml:space="preserve">以外任何形式提交的投标文件。</w:t>
      </w:r>
      <w:r>
        <w:rPr>
          <w:sz w:val="24"/>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bookmarkStart w:id="441" w:name="_Toc150774636"/>
      <w:r/>
      <w:bookmarkStart w:id="442" w:name="_Toc265228374"/>
      <w:r/>
      <w:bookmarkStart w:id="443" w:name="_Toc127151536"/>
      <w:r/>
      <w:bookmarkStart w:id="444" w:name="_Toc127151737"/>
      <w:r/>
      <w:bookmarkStart w:id="445" w:name="_Toc164229231"/>
      <w:r/>
      <w:bookmarkStart w:id="446" w:name="_Toc151193634"/>
      <w:r/>
      <w:bookmarkStart w:id="447" w:name="_Toc149720829"/>
      <w:r/>
      <w:bookmarkStart w:id="448" w:name="_Toc151190163"/>
      <w:r/>
      <w:bookmarkStart w:id="449" w:name="_Toc150774741"/>
      <w:r/>
      <w:bookmarkStart w:id="450" w:name="_Toc151193924"/>
      <w:r/>
      <w:bookmarkStart w:id="451" w:name="_Toc226337232"/>
      <w:r/>
      <w:bookmarkStart w:id="452" w:name="_Toc151193778"/>
      <w:r/>
      <w:bookmarkStart w:id="453" w:name="_Toc164351630"/>
      <w:r/>
      <w:bookmarkStart w:id="454" w:name="_Toc142311038"/>
      <w:r/>
      <w:bookmarkStart w:id="455" w:name="_Toc226965726"/>
      <w:r/>
      <w:bookmarkStart w:id="456" w:name="_Toc164229377"/>
      <w:r/>
      <w:bookmarkStart w:id="457" w:name="_Toc264969226"/>
      <w:r/>
      <w:bookmarkStart w:id="458" w:name="_Toc127161450"/>
      <w:r/>
      <w:bookmarkStart w:id="459" w:name="_Toc151193850"/>
      <w:r/>
      <w:bookmarkStart w:id="460" w:name="_Toc520356161"/>
      <w:r/>
      <w:bookmarkStart w:id="461" w:name="_Toc164608805"/>
      <w:r/>
      <w:bookmarkStart w:id="462" w:name="_Toc150509287"/>
      <w:r/>
      <w:bookmarkStart w:id="463" w:name="_Toc151193706"/>
      <w:r/>
      <w:bookmarkStart w:id="464" w:name="_Toc164608650"/>
      <w:r/>
      <w:bookmarkStart w:id="465" w:name="_Toc195842901"/>
      <w:r/>
      <w:bookmarkStart w:id="466" w:name="_Toc305158804"/>
      <w:r/>
      <w:bookmarkStart w:id="467" w:name="_Toc226309780"/>
      <w:r/>
      <w:bookmarkStart w:id="468" w:name="_Toc226965809"/>
      <w:r/>
      <w:bookmarkStart w:id="469" w:name="_Toc150480774"/>
      <w:r/>
      <w:bookmarkStart w:id="470" w:name="_Toc305158878"/>
      <w:r>
        <w:rPr>
          <w:sz w:val="24"/>
          <w:highlight w:val="none"/>
        </w:rPr>
        <w:t xml:space="preserve">投标截止</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sz w:val="24"/>
          <w:highlight w:val="none"/>
        </w:rPr>
        <w:t xml:space="preserve">时间</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rPr>
        <w:t xml:space="preserve">政府采购一体化平台“苏采云”</w:t>
      </w:r>
      <w:r>
        <w:rPr>
          <w:sz w:val="24"/>
          <w:highlight w:val="none"/>
        </w:rPr>
        <w:t xml:space="preserve">。</w:t>
      </w:r>
      <w:r>
        <w:rPr>
          <w:sz w:val="24"/>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bookmarkStart w:id="471" w:name="_Toc127151738"/>
      <w:r/>
      <w:bookmarkStart w:id="472" w:name="_Toc226965810"/>
      <w:r/>
      <w:bookmarkStart w:id="473" w:name="_Toc226337233"/>
      <w:r/>
      <w:bookmarkStart w:id="474" w:name="_Toc150774742"/>
      <w:r/>
      <w:bookmarkStart w:id="475" w:name="_Toc265228375"/>
      <w:r/>
      <w:bookmarkStart w:id="476" w:name="_Toc520356162"/>
      <w:r/>
      <w:bookmarkStart w:id="477" w:name="_Toc164608806"/>
      <w:r/>
      <w:bookmarkStart w:id="478" w:name="_Toc226965727"/>
      <w:r/>
      <w:bookmarkStart w:id="479" w:name="_Toc150774637"/>
      <w:r/>
      <w:bookmarkStart w:id="480" w:name="_Toc151190164"/>
      <w:r/>
      <w:bookmarkStart w:id="481" w:name="_Toc150509288"/>
      <w:r/>
      <w:bookmarkStart w:id="482" w:name="_Toc150480775"/>
      <w:r/>
      <w:bookmarkStart w:id="483" w:name="_Toc195842902"/>
      <w:r/>
      <w:bookmarkStart w:id="484" w:name="_Toc127151537"/>
      <w:r/>
      <w:bookmarkStart w:id="485" w:name="_Toc151193851"/>
      <w:r/>
      <w:bookmarkStart w:id="486" w:name="_Toc305158879"/>
      <w:r/>
      <w:bookmarkStart w:id="487" w:name="_Toc151193779"/>
      <w:r/>
      <w:bookmarkStart w:id="488" w:name="_Toc164608651"/>
      <w:r/>
      <w:bookmarkStart w:id="489" w:name="_Toc149720830"/>
      <w:r/>
      <w:bookmarkStart w:id="490" w:name="_Toc164351631"/>
      <w:r/>
      <w:bookmarkStart w:id="491" w:name="_Toc226309781"/>
      <w:r/>
      <w:bookmarkStart w:id="492" w:name="_Toc151193707"/>
      <w:r/>
      <w:bookmarkStart w:id="493" w:name="_Toc164229378"/>
      <w:r/>
      <w:bookmarkStart w:id="494" w:name="_Toc127161451"/>
      <w:r/>
      <w:bookmarkStart w:id="495" w:name="_Toc142311039"/>
      <w:r/>
      <w:bookmarkStart w:id="496" w:name="_Toc305158805"/>
      <w:r/>
      <w:bookmarkStart w:id="497" w:name="_Toc164229232"/>
      <w:r/>
      <w:bookmarkStart w:id="498" w:name="_Toc151193635"/>
      <w:r/>
      <w:bookmarkStart w:id="499" w:name="_Toc151193925"/>
      <w:r/>
      <w:bookmarkStart w:id="500" w:name="_Toc264969227"/>
      <w:r>
        <w:rPr>
          <w:sz w:val="24"/>
          <w:highlight w:val="none"/>
        </w:rPr>
        <w:t xml:space="preserve">投标文件的修改与撤回</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投标截止时间前，投标人可以通过</w:t>
      </w:r>
      <w:r>
        <w:rPr>
          <w:rFonts w:hint="eastAsia"/>
          <w:sz w:val="24"/>
          <w:highlight w:val="none"/>
        </w:rPr>
        <w:t xml:space="preserve">政府采购一体化平台“苏采云”</w:t>
      </w:r>
      <w:r>
        <w:rPr>
          <w:sz w:val="24"/>
          <w:highlight w:val="none"/>
        </w:rPr>
        <w:t xml:space="preserve">对所提交的投标文件进行补充、修改或者撤回。</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rPr>
          <w:sz w:val="24"/>
          <w:highlight w:val="none"/>
        </w:rPr>
      </w:r>
      <w:r/>
    </w:p>
    <w:p>
      <w:pPr>
        <w:pStyle w:val="825"/>
        <w:spacing w:line="360" w:lineRule="auto"/>
        <w:rPr>
          <w:sz w:val="24"/>
          <w:highlight w:val="none"/>
        </w:rPr>
      </w:pPr>
      <w:r>
        <w:rPr>
          <w:sz w:val="24"/>
          <w:highlight w:val="none"/>
        </w:rPr>
      </w:r>
      <w:r/>
    </w:p>
    <w:p>
      <w:pPr>
        <w:pStyle w:val="827"/>
        <w:spacing w:before="0" w:line="360" w:lineRule="auto"/>
        <w:rPr>
          <w:rFonts w:ascii="Times New Roman" w:hAnsi="Times New Roman" w:eastAsia="宋体"/>
          <w:sz w:val="28"/>
          <w:highlight w:val="none"/>
        </w:rPr>
      </w:pPr>
      <w:r/>
      <w:bookmarkStart w:id="501" w:name="_Toc150480776"/>
      <w:r/>
      <w:bookmarkStart w:id="502" w:name="_Toc195842903"/>
      <w:r/>
      <w:bookmarkStart w:id="503" w:name="_Toc151190165"/>
      <w:r/>
      <w:bookmarkStart w:id="504" w:name="_Toc127151538"/>
      <w:r/>
      <w:bookmarkStart w:id="505" w:name="_Toc520356163"/>
      <w:r/>
      <w:bookmarkStart w:id="506" w:name="_Toc226965811"/>
      <w:r/>
      <w:bookmarkStart w:id="507" w:name="_Toc265228376"/>
      <w:r/>
      <w:bookmarkStart w:id="508" w:name="_Toc226337234"/>
      <w:r/>
      <w:bookmarkStart w:id="509" w:name="_Toc151193852"/>
      <w:r/>
      <w:bookmarkStart w:id="510" w:name="_Toc305158880"/>
      <w:r/>
      <w:bookmarkStart w:id="511" w:name="_Toc264969228"/>
      <w:r/>
      <w:bookmarkStart w:id="512" w:name="_Toc151193926"/>
      <w:r/>
      <w:bookmarkStart w:id="513" w:name="_Toc150774743"/>
      <w:r/>
      <w:bookmarkStart w:id="514" w:name="_Toc305158806"/>
      <w:r/>
      <w:bookmarkStart w:id="515" w:name="_Toc142311040"/>
      <w:r/>
      <w:bookmarkStart w:id="516" w:name="_Toc150509289"/>
      <w:r/>
      <w:bookmarkStart w:id="517" w:name="_Toc226965728"/>
      <w:r/>
      <w:bookmarkStart w:id="518" w:name="_Toc226309782"/>
      <w:r/>
      <w:bookmarkStart w:id="519" w:name="_Toc150774638"/>
      <w:r/>
      <w:bookmarkStart w:id="520" w:name="_Toc151193780"/>
      <w:r/>
      <w:bookmarkStart w:id="521" w:name="_Toc151193708"/>
      <w:r/>
      <w:bookmarkStart w:id="522" w:name="_Toc151193636"/>
      <w:r>
        <w:rPr>
          <w:rFonts w:ascii="Times New Roman" w:hAnsi="Times New Roman" w:eastAsia="宋体"/>
          <w:sz w:val="28"/>
          <w:highlight w:val="none"/>
        </w:rPr>
        <w:t xml:space="preserve">五   开标、资格审查及评标</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rFonts w:ascii="Times New Roman" w:hAnsi="Times New Roman" w:eastAsia="宋体"/>
          <w:sz w:val="28"/>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bookmarkStart w:id="523" w:name="_Toc150509290"/>
      <w:r/>
      <w:bookmarkStart w:id="524" w:name="_Toc127151539"/>
      <w:r/>
      <w:bookmarkStart w:id="525" w:name="_Toc226337235"/>
      <w:r/>
      <w:bookmarkStart w:id="526" w:name="_Toc127161453"/>
      <w:r/>
      <w:bookmarkStart w:id="527" w:name="_Toc151193927"/>
      <w:r/>
      <w:bookmarkStart w:id="528" w:name="_Toc150774639"/>
      <w:r/>
      <w:bookmarkStart w:id="529" w:name="_Toc226965729"/>
      <w:r/>
      <w:bookmarkStart w:id="530" w:name="_Toc142311041"/>
      <w:r/>
      <w:bookmarkStart w:id="531" w:name="_Toc226965812"/>
      <w:r/>
      <w:bookmarkStart w:id="532" w:name="_Toc151193781"/>
      <w:r/>
      <w:bookmarkStart w:id="533" w:name="_Toc305158807"/>
      <w:r/>
      <w:bookmarkStart w:id="534" w:name="_Toc264969229"/>
      <w:r/>
      <w:bookmarkStart w:id="535" w:name="_Toc150480777"/>
      <w:r/>
      <w:bookmarkStart w:id="536" w:name="_Toc164229380"/>
      <w:r/>
      <w:bookmarkStart w:id="537" w:name="_Toc164608808"/>
      <w:r/>
      <w:bookmarkStart w:id="538" w:name="_Toc164351633"/>
      <w:r/>
      <w:bookmarkStart w:id="539" w:name="_Toc305158881"/>
      <w:r/>
      <w:bookmarkStart w:id="540" w:name="_Toc150774744"/>
      <w:r/>
      <w:bookmarkStart w:id="541" w:name="_Toc151193637"/>
      <w:r/>
      <w:bookmarkStart w:id="542" w:name="_Toc151193853"/>
      <w:r/>
      <w:bookmarkStart w:id="543" w:name="_Toc226309783"/>
      <w:r/>
      <w:bookmarkStart w:id="544" w:name="_Toc151193709"/>
      <w:r/>
      <w:bookmarkStart w:id="545" w:name="_Toc520356164"/>
      <w:r/>
      <w:bookmarkStart w:id="546" w:name="_Toc164229234"/>
      <w:r/>
      <w:bookmarkStart w:id="547" w:name="_Toc164608653"/>
      <w:r/>
      <w:bookmarkStart w:id="548" w:name="_Toc195842904"/>
      <w:r/>
      <w:bookmarkStart w:id="549" w:name="_Toc265228377"/>
      <w:r/>
      <w:bookmarkStart w:id="550" w:name="_Toc151190166"/>
      <w:r/>
      <w:bookmarkStart w:id="551" w:name="_Toc149720832"/>
      <w:r/>
      <w:bookmarkStart w:id="552" w:name="_Toc127151740"/>
      <w:r>
        <w:rPr>
          <w:sz w:val="24"/>
          <w:highlight w:val="none"/>
        </w:rPr>
        <w:t xml:space="preserve">开标</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rPr>
        <w:t xml:space="preserve">政府采购一体化平台“苏采云”在线进行开标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开标过程将使用</w:t>
      </w:r>
      <w:r>
        <w:rPr>
          <w:rFonts w:hint="eastAsia"/>
          <w:sz w:val="24"/>
          <w:highlight w:val="none"/>
        </w:rPr>
        <w:t xml:space="preserve">政府采购一体化平台“苏采云”公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53" w:name="_Toc520356165"/>
      <w:r>
        <w:rPr>
          <w:rFonts w:hint="eastAsia"/>
          <w:sz w:val="24"/>
          <w:highlight w:val="none"/>
        </w:rPr>
        <w:t xml:space="preserve">。投标人超过规定时间未确认但是未提出疑义的，系统将视同已确认</w:t>
      </w:r>
      <w:r>
        <w:rPr>
          <w:sz w:val="24"/>
          <w:highlight w:val="none"/>
        </w:rPr>
        <w:t xml:space="preserve">。</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sz w:val="24"/>
          <w:highlight w:val="none"/>
        </w:rPr>
        <w:t xml:space="preserve">投标人不足3家的，不予开标。</w:t>
      </w:r>
      <w:r>
        <w:rPr>
          <w:rFonts w:hint="eastAsia"/>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rPr>
          <w:rFonts w:hint="eastAsia"/>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bidi="ar"/>
        </w:rPr>
        <w:t xml:space="preserve">政府采购一体化平台“苏采云”</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825"/>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825"/>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825"/>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825"/>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825"/>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资格审查</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见第三章《资格审查》。</w:t>
      </w:r>
      <w:r>
        <w:rPr>
          <w:sz w:val="24"/>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bookmarkEnd w:id="553"/>
      <w:r/>
      <w:bookmarkStart w:id="554" w:name="_Toc164608654"/>
      <w:r/>
      <w:bookmarkStart w:id="555" w:name="_Toc164608809"/>
      <w:r/>
      <w:bookmarkStart w:id="556" w:name="_Toc164229235"/>
      <w:r/>
      <w:bookmarkStart w:id="557" w:name="_Toc151190167"/>
      <w:r/>
      <w:bookmarkStart w:id="558" w:name="_Toc226337236"/>
      <w:r/>
      <w:bookmarkStart w:id="559" w:name="_Toc127161454"/>
      <w:r/>
      <w:bookmarkStart w:id="560" w:name="_Toc142311042"/>
      <w:r/>
      <w:bookmarkStart w:id="561" w:name="_Toc127151540"/>
      <w:r/>
      <w:bookmarkStart w:id="562" w:name="_Toc151193782"/>
      <w:r/>
      <w:bookmarkStart w:id="563" w:name="_Toc226965813"/>
      <w:r/>
      <w:bookmarkStart w:id="564" w:name="_Toc305158882"/>
      <w:r/>
      <w:bookmarkStart w:id="565" w:name="_Toc226309784"/>
      <w:r/>
      <w:bookmarkStart w:id="566" w:name="_Toc151193638"/>
      <w:r/>
      <w:bookmarkStart w:id="567" w:name="_Toc195842905"/>
      <w:r/>
      <w:bookmarkStart w:id="568" w:name="_Toc150774640"/>
      <w:r/>
      <w:bookmarkStart w:id="569" w:name="_Toc164229381"/>
      <w:r/>
      <w:bookmarkStart w:id="570" w:name="_Toc150774745"/>
      <w:r/>
      <w:bookmarkStart w:id="571" w:name="_Toc149720833"/>
      <w:r/>
      <w:bookmarkStart w:id="572" w:name="_Toc127151741"/>
      <w:r/>
      <w:bookmarkStart w:id="573" w:name="_Toc150480778"/>
      <w:r/>
      <w:bookmarkStart w:id="574" w:name="_Toc164351634"/>
      <w:r/>
      <w:bookmarkStart w:id="575" w:name="_Toc265228378"/>
      <w:r/>
      <w:bookmarkStart w:id="576" w:name="_Toc226965730"/>
      <w:r/>
      <w:bookmarkStart w:id="577" w:name="_Toc150509291"/>
      <w:r/>
      <w:bookmarkStart w:id="578" w:name="_Toc151193928"/>
      <w:r/>
      <w:bookmarkStart w:id="579" w:name="_Toc305158808"/>
      <w:r/>
      <w:bookmarkStart w:id="580" w:name="_Toc264969230"/>
      <w:r/>
      <w:bookmarkStart w:id="581" w:name="_Toc151193710"/>
      <w:r/>
      <w:bookmarkStart w:id="582" w:name="_Toc151193854"/>
      <w:r>
        <w:rPr>
          <w:sz w:val="24"/>
          <w:highlight w:val="none"/>
        </w:rPr>
        <w:t xml:space="preserve">评标委员会</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83" w:name="_Toc520356166"/>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83"/>
      <w:r/>
      <w:bookmarkStart w:id="584" w:name="_Toc520356169"/>
      <w:r>
        <w:rPr>
          <w:sz w:val="24"/>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评标程序、评标方法和评标标准</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见第四章《评标程序、评标方法和评标标准》。</w:t>
      </w:r>
      <w:r>
        <w:rPr>
          <w:sz w:val="24"/>
          <w:highlight w:val="none"/>
        </w:rPr>
      </w:r>
      <w:r/>
    </w:p>
    <w:p>
      <w:pPr>
        <w:pStyle w:val="825"/>
        <w:ind w:left="1080"/>
        <w:spacing w:line="360" w:lineRule="auto"/>
        <w:tabs>
          <w:tab w:val="left" w:pos="360" w:leader="none"/>
          <w:tab w:val="left" w:pos="1080" w:leader="none"/>
        </w:tabs>
        <w:rPr>
          <w:sz w:val="24"/>
          <w:highlight w:val="none"/>
        </w:rPr>
      </w:pPr>
      <w:r>
        <w:rPr>
          <w:sz w:val="24"/>
          <w:highlight w:val="none"/>
        </w:rPr>
      </w:r>
      <w:r/>
    </w:p>
    <w:p>
      <w:pPr>
        <w:pStyle w:val="827"/>
        <w:spacing w:before="0" w:line="360" w:lineRule="auto"/>
        <w:rPr>
          <w:rFonts w:ascii="Times New Roman" w:hAnsi="Times New Roman" w:eastAsia="宋体"/>
          <w:sz w:val="28"/>
          <w:highlight w:val="none"/>
        </w:rPr>
      </w:pPr>
      <w:r/>
      <w:bookmarkStart w:id="585" w:name="_Toc226337241"/>
      <w:r/>
      <w:bookmarkStart w:id="586" w:name="_Toc150480783"/>
      <w:r/>
      <w:bookmarkStart w:id="587" w:name="_Toc151193933"/>
      <w:r/>
      <w:bookmarkStart w:id="588" w:name="_Toc150774645"/>
      <w:r/>
      <w:bookmarkStart w:id="589" w:name="_Toc305158813"/>
      <w:r/>
      <w:bookmarkStart w:id="590" w:name="_Toc195842910"/>
      <w:r/>
      <w:bookmarkStart w:id="591" w:name="_Toc264969235"/>
      <w:r/>
      <w:bookmarkStart w:id="592" w:name="_Toc127151545"/>
      <w:r/>
      <w:bookmarkStart w:id="593" w:name="_Toc151190172"/>
      <w:r/>
      <w:bookmarkStart w:id="594" w:name="_Toc226965818"/>
      <w:r/>
      <w:bookmarkStart w:id="595" w:name="_Toc226965735"/>
      <w:r/>
      <w:bookmarkStart w:id="596" w:name="_Toc150509296"/>
      <w:r/>
      <w:bookmarkStart w:id="597" w:name="_Toc151193859"/>
      <w:r/>
      <w:bookmarkStart w:id="598" w:name="_Toc150774750"/>
      <w:r/>
      <w:bookmarkStart w:id="599" w:name="_Toc305158887"/>
      <w:r/>
      <w:bookmarkStart w:id="600" w:name="_Toc151193715"/>
      <w:r/>
      <w:bookmarkStart w:id="601" w:name="_Toc265228383"/>
      <w:r/>
      <w:bookmarkStart w:id="602" w:name="_Toc142311047"/>
      <w:r/>
      <w:bookmarkStart w:id="603" w:name="_Toc151193643"/>
      <w:r/>
      <w:bookmarkStart w:id="604" w:name="_Toc151193787"/>
      <w:r/>
      <w:bookmarkStart w:id="605" w:name="_Toc226309789"/>
      <w:r>
        <w:rPr>
          <w:rFonts w:ascii="Times New Roman" w:hAnsi="Times New Roman" w:eastAsia="宋体"/>
          <w:sz w:val="28"/>
          <w:highlight w:val="none"/>
        </w:rPr>
        <w:t xml:space="preserve">六   </w:t>
      </w:r>
      <w:bookmarkEnd w:id="584"/>
      <w:r>
        <w:rPr>
          <w:rFonts w:ascii="Times New Roman" w:hAnsi="Times New Roman" w:eastAsia="宋体"/>
          <w:sz w:val="28"/>
          <w:highlight w:val="none"/>
        </w:rPr>
        <w:t xml:space="preserve">确定中标</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Start w:id="606" w:name="_Toc151190174"/>
      <w:r/>
      <w:bookmarkStart w:id="607" w:name="_Toc226965820"/>
      <w:r/>
      <w:bookmarkStart w:id="608" w:name="_Toc127151547"/>
      <w:r/>
      <w:bookmarkStart w:id="609" w:name="_Toc142311049"/>
      <w:r/>
      <w:bookmarkStart w:id="610" w:name="_Toc164229388"/>
      <w:r/>
      <w:bookmarkStart w:id="611" w:name="_Toc149720840"/>
      <w:r/>
      <w:bookmarkStart w:id="612" w:name="_Toc195842912"/>
      <w:r/>
      <w:bookmarkStart w:id="613" w:name="_Toc164608816"/>
      <w:r/>
      <w:bookmarkStart w:id="614" w:name="_Toc151193645"/>
      <w:r/>
      <w:bookmarkStart w:id="615" w:name="_Toc127151748"/>
      <w:r/>
      <w:bookmarkStart w:id="616" w:name="_Toc151193935"/>
      <w:r/>
      <w:bookmarkStart w:id="617" w:name="_Toc127161461"/>
      <w:r/>
      <w:bookmarkStart w:id="618" w:name="_Toc264969237"/>
      <w:r/>
      <w:bookmarkStart w:id="619" w:name="_Toc150774752"/>
      <w:r/>
      <w:bookmarkStart w:id="620" w:name="_Toc151193717"/>
      <w:r/>
      <w:bookmarkStart w:id="621" w:name="_Toc150480785"/>
      <w:r/>
      <w:bookmarkStart w:id="622" w:name="_Toc226309791"/>
      <w:r/>
      <w:bookmarkStart w:id="623" w:name="_Toc164351641"/>
      <w:r/>
      <w:bookmarkStart w:id="624" w:name="_Toc150509298"/>
      <w:r/>
      <w:bookmarkStart w:id="625" w:name="_Toc265228385"/>
      <w:r/>
      <w:bookmarkStart w:id="626" w:name="_Toc226337243"/>
      <w:r/>
      <w:bookmarkStart w:id="627" w:name="_Toc150774647"/>
      <w:r/>
      <w:bookmarkStart w:id="628" w:name="_Toc305158815"/>
      <w:r/>
      <w:bookmarkStart w:id="629" w:name="_Toc151193861"/>
      <w:r/>
      <w:bookmarkStart w:id="630" w:name="_Toc226965737"/>
      <w:r/>
      <w:bookmarkStart w:id="631" w:name="_Toc164608661"/>
      <w:r/>
      <w:bookmarkStart w:id="632" w:name="_Toc151193789"/>
      <w:r/>
      <w:bookmarkStart w:id="633" w:name="_Toc164229242"/>
      <w:r/>
      <w:bookmarkStart w:id="634" w:name="_Toc305158889"/>
      <w:r>
        <w:rPr>
          <w:rFonts w:ascii="Times New Roman" w:hAnsi="Times New Roman" w:eastAsia="宋体"/>
          <w:sz w:val="28"/>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确定中标人</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rPr>
          <w:sz w:val="24"/>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bookmarkStart w:id="635" w:name="_Toc195842914"/>
      <w:r/>
      <w:bookmarkStart w:id="636" w:name="_Toc150774754"/>
      <w:r/>
      <w:bookmarkStart w:id="637" w:name="_Toc151193863"/>
      <w:r/>
      <w:bookmarkStart w:id="638" w:name="_Toc305158891"/>
      <w:r/>
      <w:bookmarkStart w:id="639" w:name="_Toc226965739"/>
      <w:r/>
      <w:bookmarkStart w:id="640" w:name="_Toc151193719"/>
      <w:r/>
      <w:bookmarkStart w:id="641" w:name="_Toc142311051"/>
      <w:r/>
      <w:bookmarkStart w:id="642" w:name="_Toc164608663"/>
      <w:r/>
      <w:bookmarkStart w:id="643" w:name="_Toc520356176"/>
      <w:r/>
      <w:bookmarkStart w:id="644" w:name="_Ref467306425"/>
      <w:r/>
      <w:bookmarkStart w:id="645" w:name="_Ref467307090"/>
      <w:r/>
      <w:bookmarkStart w:id="646" w:name="_Toc127151750"/>
      <w:r/>
      <w:bookmarkStart w:id="647" w:name="_Toc265228387"/>
      <w:r/>
      <w:bookmarkStart w:id="648" w:name="_Toc164229390"/>
      <w:r/>
      <w:bookmarkStart w:id="649" w:name="_Toc226337245"/>
      <w:r/>
      <w:bookmarkStart w:id="650" w:name="_Toc127161463"/>
      <w:r/>
      <w:bookmarkStart w:id="651" w:name="_Toc226309793"/>
      <w:r/>
      <w:bookmarkStart w:id="652" w:name="_Toc305158817"/>
      <w:r/>
      <w:bookmarkStart w:id="653" w:name="_Toc151190176"/>
      <w:r/>
      <w:bookmarkStart w:id="654" w:name="_Toc164229244"/>
      <w:r/>
      <w:bookmarkStart w:id="655" w:name="_Toc264969239"/>
      <w:r/>
      <w:bookmarkStart w:id="656" w:name="_Toc150509300"/>
      <w:r/>
      <w:bookmarkStart w:id="657" w:name="_Toc150774649"/>
      <w:r/>
      <w:bookmarkStart w:id="658" w:name="_Toc127151549"/>
      <w:r/>
      <w:bookmarkStart w:id="659" w:name="_Toc164608818"/>
      <w:r/>
      <w:bookmarkStart w:id="660" w:name="_Toc151193791"/>
      <w:r/>
      <w:bookmarkStart w:id="661" w:name="_Toc226965822"/>
      <w:r/>
      <w:bookmarkStart w:id="662" w:name="_Toc150480787"/>
      <w:r/>
      <w:bookmarkStart w:id="663" w:name="_Toc164351643"/>
      <w:r/>
      <w:bookmarkStart w:id="664" w:name="_Toc151193937"/>
      <w:r/>
      <w:bookmarkStart w:id="665" w:name="_Toc149720842"/>
      <w:r/>
      <w:bookmarkStart w:id="666" w:name="_Toc151193647"/>
      <w:r>
        <w:rPr>
          <w:sz w:val="24"/>
          <w:highlight w:val="none"/>
        </w:rPr>
        <w:t xml:space="preserve">中标公告与中标通知书</w:t>
      </w:r>
      <w:bookmarkEnd w:id="638"/>
      <w:r/>
      <w:bookmarkEnd w:id="652"/>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rPr>
          <w:sz w:val="24"/>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废标</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在招标采购中，出现下列情形之一的，应予废标：</w:t>
      </w:r>
      <w:r>
        <w:rPr>
          <w:sz w:val="24"/>
          <w:highlight w:val="none"/>
        </w:rPr>
      </w:r>
      <w:r/>
    </w:p>
    <w:p>
      <w:pPr>
        <w:pStyle w:val="825"/>
        <w:numPr>
          <w:ilvl w:val="2"/>
          <w:numId w:val="8"/>
        </w:numPr>
        <w:spacing w:line="360" w:lineRule="auto"/>
        <w:tabs>
          <w:tab w:val="left" w:pos="1980" w:leader="none"/>
        </w:tabs>
        <w:rPr>
          <w:sz w:val="24"/>
          <w:highlight w:val="none"/>
        </w:rPr>
      </w:pPr>
      <w:r>
        <w:rPr>
          <w:sz w:val="24"/>
          <w:highlight w:val="none"/>
        </w:rPr>
        <w:t xml:space="preserve">符合专业条件的供应商或者对招标文件作实质响应的供应商不足三家的；</w:t>
      </w:r>
      <w:r>
        <w:rPr>
          <w:sz w:val="24"/>
          <w:highlight w:val="none"/>
        </w:rPr>
      </w:r>
      <w:r/>
    </w:p>
    <w:p>
      <w:pPr>
        <w:pStyle w:val="825"/>
        <w:numPr>
          <w:ilvl w:val="2"/>
          <w:numId w:val="8"/>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825"/>
        <w:numPr>
          <w:ilvl w:val="2"/>
          <w:numId w:val="8"/>
        </w:numPr>
        <w:spacing w:line="360" w:lineRule="auto"/>
        <w:tabs>
          <w:tab w:val="left" w:pos="1980" w:leader="none"/>
        </w:tabs>
        <w:rPr>
          <w:sz w:val="24"/>
          <w:highlight w:val="none"/>
        </w:rPr>
      </w:pPr>
      <w:r>
        <w:rPr>
          <w:sz w:val="24"/>
          <w:highlight w:val="none"/>
        </w:rPr>
        <w:t xml:space="preserve">投标人的报价均超过了采购预算，采购人不能支付的；</w:t>
      </w:r>
      <w:r>
        <w:rPr>
          <w:sz w:val="24"/>
          <w:highlight w:val="none"/>
        </w:rPr>
      </w:r>
      <w:r/>
    </w:p>
    <w:p>
      <w:pPr>
        <w:pStyle w:val="825"/>
        <w:numPr>
          <w:ilvl w:val="2"/>
          <w:numId w:val="8"/>
        </w:numPr>
        <w:spacing w:line="360" w:lineRule="auto"/>
        <w:tabs>
          <w:tab w:val="left" w:pos="1980" w:leader="none"/>
        </w:tabs>
        <w:rPr>
          <w:rFonts w:hint="eastAsia"/>
          <w:sz w:val="24"/>
          <w:highlight w:val="none"/>
        </w:rPr>
      </w:pPr>
      <w:r>
        <w:rPr>
          <w:sz w:val="24"/>
          <w:highlight w:val="none"/>
        </w:rPr>
        <w:t xml:space="preserve">因重大变故，采购任务取消的。</w:t>
      </w:r>
      <w:r>
        <w:rPr>
          <w:rFonts w:hint="eastAsia"/>
          <w:sz w:val="24"/>
          <w:highlight w:val="none"/>
        </w:rPr>
      </w:r>
      <w:r/>
    </w:p>
    <w:p>
      <w:pPr>
        <w:pStyle w:val="825"/>
        <w:numPr>
          <w:ilvl w:val="2"/>
          <w:numId w:val="8"/>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废标后，采购人将废标理由通知所有投标人。</w:t>
      </w:r>
      <w:r>
        <w:rPr>
          <w:sz w:val="24"/>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bookmarkEnd w:id="635"/>
      <w:r/>
      <w:bookmarkEnd w:id="636"/>
      <w:r/>
      <w:bookmarkEnd w:id="637"/>
      <w:r/>
      <w:bookmarkEnd w:id="639"/>
      <w:r/>
      <w:bookmarkEnd w:id="640"/>
      <w:r/>
      <w:bookmarkEnd w:id="641"/>
      <w:r/>
      <w:bookmarkEnd w:id="642"/>
      <w:r/>
      <w:bookmarkEnd w:id="646"/>
      <w:r/>
      <w:bookmarkEnd w:id="647"/>
      <w:r/>
      <w:bookmarkEnd w:id="648"/>
      <w:r/>
      <w:bookmarkEnd w:id="649"/>
      <w:r/>
      <w:bookmarkEnd w:id="650"/>
      <w:r/>
      <w:bookmarkEnd w:id="651"/>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Start w:id="667" w:name="_Toc127151550"/>
      <w:r/>
      <w:bookmarkStart w:id="668" w:name="_Toc164229245"/>
      <w:r/>
      <w:bookmarkStart w:id="669" w:name="_Toc264969240"/>
      <w:r/>
      <w:bookmarkStart w:id="670" w:name="_Ref467306978"/>
      <w:r/>
      <w:bookmarkStart w:id="671" w:name="_Toc226337246"/>
      <w:r/>
      <w:bookmarkStart w:id="672" w:name="_Toc151193792"/>
      <w:r/>
      <w:bookmarkStart w:id="673" w:name="_Ref467307204"/>
      <w:r/>
      <w:bookmarkStart w:id="674" w:name="_Toc164608819"/>
      <w:r/>
      <w:bookmarkStart w:id="675" w:name="_Toc150774755"/>
      <w:r/>
      <w:bookmarkStart w:id="676" w:name="_Ref467306377"/>
      <w:r/>
      <w:bookmarkStart w:id="677" w:name="_Toc150480788"/>
      <w:r/>
      <w:bookmarkStart w:id="678" w:name="_Toc305158818"/>
      <w:r/>
      <w:bookmarkStart w:id="679" w:name="_Toc150774650"/>
      <w:r/>
      <w:bookmarkStart w:id="680" w:name="_Toc127161464"/>
      <w:r/>
      <w:bookmarkStart w:id="681" w:name="_Toc226965740"/>
      <w:r/>
      <w:bookmarkStart w:id="682" w:name="_Toc305158892"/>
      <w:r/>
      <w:bookmarkStart w:id="683" w:name="_Ref467307062"/>
      <w:r/>
      <w:bookmarkStart w:id="684" w:name="_Toc164229391"/>
      <w:r/>
      <w:bookmarkStart w:id="685" w:name="_Toc164351644"/>
      <w:r/>
      <w:bookmarkStart w:id="686" w:name="_Toc164608664"/>
      <w:r/>
      <w:bookmarkStart w:id="687" w:name="_Toc195842915"/>
      <w:r/>
      <w:bookmarkStart w:id="688" w:name="_Toc151190177"/>
      <w:r/>
      <w:bookmarkStart w:id="689" w:name="_Toc226309794"/>
      <w:r/>
      <w:bookmarkStart w:id="690" w:name="_Toc150509301"/>
      <w:r/>
      <w:bookmarkStart w:id="691" w:name="_Toc149720843"/>
      <w:r/>
      <w:bookmarkStart w:id="692" w:name="_Toc127151751"/>
      <w:r/>
      <w:bookmarkStart w:id="693" w:name="_Toc151193864"/>
      <w:r/>
      <w:bookmarkStart w:id="694" w:name="_Toc520356175"/>
      <w:r/>
      <w:bookmarkStart w:id="695" w:name="_Toc151193720"/>
      <w:r/>
      <w:bookmarkStart w:id="696" w:name="_Toc142311052"/>
      <w:r/>
      <w:bookmarkStart w:id="697" w:name="_Toc151193938"/>
      <w:r/>
      <w:bookmarkStart w:id="698" w:name="_Toc151193648"/>
      <w:r/>
      <w:bookmarkStart w:id="699" w:name="_Toc226965823"/>
      <w:r/>
      <w:bookmarkStart w:id="700" w:name="_Toc265228388"/>
      <w:r>
        <w:rPr>
          <w:sz w:val="24"/>
          <w:highlight w:val="none"/>
        </w:rPr>
        <w:t xml:space="preserve">签订合同</w:t>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r>
        <w:rPr>
          <w:sz w:val="24"/>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bookmarkEnd w:id="643"/>
      <w:r/>
      <w:bookmarkEnd w:id="644"/>
      <w:r/>
      <w:bookmarkEnd w:id="645"/>
      <w:r>
        <w:rPr>
          <w:sz w:val="24"/>
          <w:highlight w:val="none"/>
        </w:rPr>
        <w:t xml:space="preserve">询问与质疑</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825"/>
        <w:numPr>
          <w:ilvl w:val="2"/>
          <w:numId w:val="8"/>
        </w:numPr>
        <w:spacing w:line="360" w:lineRule="auto"/>
        <w:tabs>
          <w:tab w:val="left" w:pos="1980" w:leader="none"/>
        </w:tabs>
        <w:rPr>
          <w:sz w:val="24"/>
          <w:highlight w:val="none"/>
        </w:rPr>
      </w:pPr>
      <w:r>
        <w:rPr>
          <w:sz w:val="24"/>
          <w:highlight w:val="none"/>
        </w:rPr>
        <w:t xml:space="preserve">投标人对政府采购活动事项有疑问的，可依法提出询问，并按《投标人须知资料表》载明的形式送达采购人或采购代理机构。</w:t>
      </w:r>
      <w:r>
        <w:rPr>
          <w:sz w:val="24"/>
          <w:highlight w:val="none"/>
        </w:rPr>
      </w:r>
      <w:r/>
    </w:p>
    <w:p>
      <w:pPr>
        <w:pStyle w:val="825"/>
        <w:numPr>
          <w:ilvl w:val="2"/>
          <w:numId w:val="8"/>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825"/>
        <w:numPr>
          <w:ilvl w:val="2"/>
          <w:numId w:val="8"/>
        </w:numPr>
        <w:spacing w:line="360" w:lineRule="auto"/>
        <w:tabs>
          <w:tab w:val="left" w:pos="1980" w:leader="none"/>
        </w:tabs>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highlight w:val="none"/>
        </w:rPr>
      </w:r>
      <w:r/>
    </w:p>
    <w:p>
      <w:pPr>
        <w:pStyle w:val="825"/>
        <w:numPr>
          <w:ilvl w:val="2"/>
          <w:numId w:val="8"/>
        </w:numPr>
        <w:spacing w:line="360" w:lineRule="auto"/>
        <w:tabs>
          <w:tab w:val="left" w:pos="1980" w:leader="none"/>
        </w:tabs>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highlight w:val="none"/>
        </w:rPr>
      </w:r>
      <w:r/>
    </w:p>
    <w:p>
      <w:pPr>
        <w:pStyle w:val="825"/>
        <w:numPr>
          <w:ilvl w:val="2"/>
          <w:numId w:val="8"/>
        </w:numPr>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901"/>
          <w:highlight w:val="none"/>
        </w:rPr>
        <w:t xml:space="preserve">http://gk</w:t>
      </w:r>
      <w:bookmarkStart w:id="701" w:name="_Hlt100654014"/>
      <w:r>
        <w:rPr>
          <w:rStyle w:val="901"/>
          <w:highlight w:val="none"/>
        </w:rPr>
        <w:t xml:space="preserve">s</w:t>
      </w:r>
      <w:bookmarkEnd w:id="701"/>
      <w:r>
        <w:rPr>
          <w:rStyle w:val="901"/>
          <w:highlight w:val="none"/>
        </w:rPr>
        <w:t xml:space="preserve">.m</w:t>
      </w:r>
      <w:bookmarkStart w:id="702" w:name="_Hlt100653994"/>
      <w:r/>
      <w:bookmarkStart w:id="703" w:name="_Hlt100653993"/>
      <w:r>
        <w:rPr>
          <w:rStyle w:val="901"/>
          <w:highlight w:val="none"/>
        </w:rPr>
        <w:t xml:space="preserve">o</w:t>
      </w:r>
      <w:bookmarkEnd w:id="702"/>
      <w:r/>
      <w:bookmarkEnd w:id="703"/>
      <w:r>
        <w:rPr>
          <w:rStyle w:val="901"/>
          <w:highlight w:val="none"/>
        </w:rPr>
        <w:t xml:space="preserve">f.gov.cn/ztztz/zhengfucaigouguanli/201802/t20180201_2804589.htm</w:t>
      </w:r>
      <w:r>
        <w:rPr>
          <w:highlight w:val="none"/>
        </w:rPr>
        <w:fldChar w:fldCharType="end"/>
      </w:r>
      <w:r>
        <w:rPr>
          <w:rFonts w:hint="eastAsia"/>
          <w:highlight w:val="none"/>
        </w:rPr>
        <w:t xml:space="preserve">）</w:t>
      </w:r>
      <w:r>
        <w:rPr>
          <w:sz w:val="24"/>
          <w:highlight w:val="none"/>
        </w:rPr>
      </w:r>
      <w:r/>
    </w:p>
    <w:p>
      <w:pPr>
        <w:pStyle w:val="825"/>
        <w:numPr>
          <w:ilvl w:val="2"/>
          <w:numId w:val="8"/>
        </w:numPr>
        <w:spacing w:line="360" w:lineRule="auto"/>
        <w:tabs>
          <w:tab w:val="left" w:pos="1980" w:leader="none"/>
        </w:tabs>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rPr>
          <w:sz w:val="24"/>
          <w:highlight w:val="none"/>
        </w:rPr>
      </w:r>
      <w:r/>
    </w:p>
    <w:p>
      <w:pPr>
        <w:pStyle w:val="825"/>
        <w:numPr>
          <w:ilvl w:val="2"/>
          <w:numId w:val="8"/>
        </w:numPr>
        <w:spacing w:line="360" w:lineRule="auto"/>
        <w:tabs>
          <w:tab w:val="left" w:pos="1980" w:leader="none"/>
        </w:tabs>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rPr>
          <w:sz w:val="24"/>
          <w:highlight w:val="none"/>
        </w:rPr>
      </w:r>
      <w:r/>
    </w:p>
    <w:p>
      <w:pPr>
        <w:pStyle w:val="82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82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rPr>
          <w:sz w:val="24"/>
          <w:highlight w:val="none"/>
        </w:rPr>
      </w:r>
      <w:r/>
    </w:p>
    <w:p>
      <w:pPr>
        <w:pStyle w:val="825"/>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27.2  集中采购机构不收取代理费。</w:t>
      </w:r>
      <w:r>
        <w:rPr>
          <w:sz w:val="24"/>
          <w:highlight w:val="none"/>
        </w:rPr>
      </w:r>
      <w:r/>
    </w:p>
    <w:p>
      <w:pPr>
        <w:pStyle w:val="825"/>
        <w:ind w:left="360"/>
        <w:spacing w:line="360" w:lineRule="auto"/>
        <w:tabs>
          <w:tab w:val="left" w:pos="360" w:leader="none"/>
          <w:tab w:val="left" w:pos="1080" w:leader="none"/>
        </w:tabs>
        <w:rPr>
          <w:sz w:val="24"/>
          <w:highlight w:val="none"/>
        </w:rPr>
      </w:pPr>
      <w:r>
        <w:rPr>
          <w:sz w:val="24"/>
          <w:highlight w:val="none"/>
        </w:rPr>
      </w:r>
      <w:r/>
    </w:p>
    <w:p>
      <w:pPr>
        <w:pStyle w:val="825"/>
        <w:jc w:val="center"/>
        <w:spacing w:line="360" w:lineRule="auto"/>
        <w:rPr>
          <w:b/>
          <w:sz w:val="36"/>
          <w:szCs w:val="36"/>
          <w:highlight w:val="none"/>
        </w:rPr>
        <w:outlineLvl w:val="0"/>
      </w:pPr>
      <w:r/>
      <w:bookmarkStart w:id="704" w:name="_Toc353873934"/>
      <w:r/>
      <w:bookmarkStart w:id="705" w:name="_Toc150480792"/>
      <w:r/>
      <w:bookmarkStart w:id="706" w:name="_Toc305158896"/>
      <w:r/>
      <w:bookmarkStart w:id="707" w:name="_Toc264969244"/>
      <w:r/>
      <w:bookmarkStart w:id="708" w:name="_Toc150774759"/>
      <w:r/>
      <w:bookmarkStart w:id="709" w:name="_Toc305158822"/>
      <w:r/>
      <w:bookmarkStart w:id="710" w:name="_Toc265228392"/>
      <w:r/>
      <w:bookmarkStart w:id="711" w:name="_Toc127151554"/>
      <w:r/>
      <w:bookmarkStart w:id="712" w:name="_Toc226965827"/>
      <w:r/>
      <w:bookmarkStart w:id="713" w:name="_Toc353873664"/>
      <w:r/>
      <w:bookmarkStart w:id="714" w:name="_Toc142311056"/>
      <w:r/>
      <w:bookmarkStart w:id="715" w:name="_Toc226337250"/>
      <w:r/>
      <w:bookmarkStart w:id="716" w:name="_Toc353825544"/>
      <w:r>
        <w:rPr>
          <w:sz w:val="24"/>
          <w:highlight w:val="none"/>
        </w:rPr>
        <w:br w:type="page" w:clear="all"/>
      </w:r>
      <w:bookmarkStart w:id="717" w:name="_Toc99301421"/>
      <w:r>
        <w:rPr>
          <w:b/>
          <w:sz w:val="36"/>
          <w:szCs w:val="36"/>
          <w:highlight w:val="none"/>
        </w:rPr>
        <w:t xml:space="preserve">第三章   </w:t>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Pr>
          <w:b/>
          <w:sz w:val="36"/>
          <w:szCs w:val="36"/>
          <w:highlight w:val="none"/>
        </w:rPr>
        <w:t xml:space="preserve">资格审查</w:t>
      </w:r>
      <w:bookmarkEnd w:id="717"/>
      <w:r/>
      <w:bookmarkStart w:id="718" w:name="_Toc487900382"/>
      <w:r>
        <w:rPr>
          <w:b/>
          <w:sz w:val="36"/>
          <w:szCs w:val="36"/>
          <w:highlight w:val="none"/>
        </w:rPr>
      </w:r>
      <w:r/>
    </w:p>
    <w:p>
      <w:pPr>
        <w:pStyle w:val="825"/>
        <w:jc w:val="center"/>
        <w:spacing w:line="360" w:lineRule="auto"/>
        <w:tabs>
          <w:tab w:val="left" w:pos="360" w:leader="none"/>
          <w:tab w:val="left" w:pos="900" w:leader="none"/>
        </w:tabs>
        <w:rPr>
          <w:b/>
          <w:sz w:val="24"/>
          <w:highlight w:val="none"/>
        </w:rPr>
        <w:outlineLvl w:val="1"/>
      </w:pPr>
      <w:r/>
      <w:bookmarkStart w:id="719" w:name="_Toc99301422"/>
      <w:r>
        <w:rPr>
          <w:b/>
          <w:sz w:val="24"/>
          <w:highlight w:val="none"/>
        </w:rPr>
        <w:t xml:space="preserve">一、资格审查程序</w:t>
      </w:r>
      <w:bookmarkEnd w:id="719"/>
      <w:r>
        <w:rPr>
          <w:b/>
          <w:sz w:val="24"/>
          <w:highlight w:val="none"/>
        </w:rPr>
      </w:r>
      <w:r/>
    </w:p>
    <w:p>
      <w:pPr>
        <w:pStyle w:val="825"/>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开标结束后，采购人将根据《资格审查要求》中的规定，对投标人进行资格审查，并形成资格审查结果。</w:t>
      </w:r>
      <w:r>
        <w:rPr>
          <w:sz w:val="24"/>
          <w:highlight w:val="none"/>
        </w:rPr>
      </w:r>
      <w:r/>
    </w:p>
    <w:p>
      <w:pPr>
        <w:pStyle w:val="825"/>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rPr>
          <w:sz w:val="24"/>
          <w:highlight w:val="none"/>
        </w:rPr>
      </w:r>
      <w:r/>
    </w:p>
    <w:p>
      <w:pPr>
        <w:pStyle w:val="825"/>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rPr>
          <w:sz w:val="24"/>
          <w:highlight w:val="none"/>
        </w:rPr>
      </w:r>
      <w:r/>
    </w:p>
    <w:p>
      <w:pPr>
        <w:pStyle w:val="825"/>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rPr>
          <w:sz w:val="24"/>
          <w:highlight w:val="none"/>
        </w:rPr>
      </w:r>
      <w:r/>
    </w:p>
    <w:p>
      <w:pPr>
        <w:pStyle w:val="825"/>
        <w:jc w:val="left"/>
        <w:widowControl/>
        <w:rPr>
          <w:sz w:val="24"/>
          <w:highlight w:val="none"/>
        </w:rPr>
      </w:pPr>
      <w:r>
        <w:rPr>
          <w:sz w:val="24"/>
          <w:highlight w:val="none"/>
        </w:rPr>
      </w:r>
      <w:r/>
    </w:p>
    <w:p>
      <w:pPr>
        <w:pStyle w:val="825"/>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825"/>
              <w:jc w:val="center"/>
              <w:tabs>
                <w:tab w:val="left" w:pos="1080" w:leader="none"/>
              </w:tabs>
              <w:rPr>
                <w:b/>
                <w:sz w:val="24"/>
                <w:highlight w:val="none"/>
              </w:rPr>
            </w:pPr>
            <w:r/>
            <w:bookmarkStart w:id="720" w:name="_Hlt487972895"/>
            <w:r/>
            <w:bookmarkEnd w:id="720"/>
            <w:r>
              <w:rPr>
                <w:b/>
                <w:sz w:val="24"/>
                <w:highlight w:val="none"/>
              </w:rPr>
              <w:t xml:space="preserve">序号</w:t>
            </w:r>
            <w:r>
              <w:rPr>
                <w:b/>
                <w:sz w:val="24"/>
                <w:highlight w:val="none"/>
              </w:rPr>
            </w:r>
            <w:r/>
          </w:p>
        </w:tc>
        <w:tc>
          <w:tcPr>
            <w:tcW w:w="1066" w:type="dxa"/>
            <w:vAlign w:val="center"/>
            <w:textDirection w:val="lrTb"/>
            <w:noWrap w:val="false"/>
          </w:tcPr>
          <w:p>
            <w:pPr>
              <w:pStyle w:val="825"/>
              <w:jc w:val="center"/>
              <w:tabs>
                <w:tab w:val="left" w:pos="1080" w:leader="none"/>
              </w:tabs>
              <w:rPr>
                <w:b/>
                <w:sz w:val="24"/>
                <w:highlight w:val="none"/>
              </w:rPr>
            </w:pPr>
            <w:r>
              <w:rPr>
                <w:b/>
                <w:sz w:val="24"/>
                <w:highlight w:val="none"/>
              </w:rPr>
              <w:t xml:space="preserve">审查因素</w:t>
            </w:r>
            <w:r>
              <w:rPr>
                <w:b/>
                <w:sz w:val="24"/>
                <w:highlight w:val="none"/>
              </w:rPr>
            </w:r>
            <w:r/>
          </w:p>
        </w:tc>
        <w:tc>
          <w:tcPr>
            <w:tcW w:w="2595" w:type="dxa"/>
            <w:vAlign w:val="center"/>
            <w:textDirection w:val="lrTb"/>
            <w:noWrap w:val="false"/>
          </w:tcPr>
          <w:p>
            <w:pPr>
              <w:pStyle w:val="825"/>
              <w:jc w:val="center"/>
              <w:tabs>
                <w:tab w:val="left" w:pos="1080" w:leader="none"/>
              </w:tabs>
              <w:rPr>
                <w:b/>
                <w:sz w:val="24"/>
                <w:highlight w:val="none"/>
              </w:rPr>
            </w:pPr>
            <w:r>
              <w:rPr>
                <w:b/>
                <w:sz w:val="24"/>
                <w:highlight w:val="none"/>
              </w:rPr>
              <w:t xml:space="preserve">审查内容</w:t>
            </w:r>
            <w:r>
              <w:rPr>
                <w:b/>
                <w:sz w:val="24"/>
                <w:highlight w:val="none"/>
              </w:rPr>
            </w:r>
            <w:r/>
          </w:p>
        </w:tc>
        <w:tc>
          <w:tcPr>
            <w:tcW w:w="881" w:type="dxa"/>
            <w:vAlign w:val="center"/>
            <w:textDirection w:val="lrTb"/>
            <w:noWrap w:val="false"/>
          </w:tcPr>
          <w:p>
            <w:pPr>
              <w:pStyle w:val="825"/>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468"/>
        </w:trPr>
        <w:tc>
          <w:tcPr>
            <w:tcW w:w="455" w:type="dxa"/>
            <w:vAlign w:val="center"/>
            <w:textDirection w:val="lrTb"/>
            <w:noWrap w:val="false"/>
          </w:tcPr>
          <w:p>
            <w:pPr>
              <w:pStyle w:val="825"/>
              <w:jc w:val="center"/>
              <w:tabs>
                <w:tab w:val="left" w:pos="1080" w:leader="none"/>
              </w:tabs>
              <w:rPr>
                <w:sz w:val="24"/>
                <w:highlight w:val="none"/>
              </w:rPr>
            </w:pPr>
            <w:r>
              <w:rPr>
                <w:sz w:val="24"/>
                <w:highlight w:val="none"/>
              </w:rPr>
              <w:t xml:space="preserve">1</w:t>
            </w:r>
            <w:r>
              <w:rPr>
                <w:sz w:val="24"/>
                <w:highlight w:val="none"/>
              </w:rPr>
            </w:r>
            <w:r/>
          </w:p>
        </w:tc>
        <w:tc>
          <w:tcPr>
            <w:tcW w:w="1066" w:type="dxa"/>
            <w:vAlign w:val="center"/>
            <w:textDirection w:val="lrTb"/>
            <w:noWrap w:val="false"/>
          </w:tcPr>
          <w:p>
            <w:pPr>
              <w:pStyle w:val="825"/>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595" w:type="dxa"/>
            <w:vAlign w:val="center"/>
            <w:textDirection w:val="lrTb"/>
            <w:noWrap w:val="false"/>
          </w:tcPr>
          <w:p>
            <w:pPr>
              <w:pStyle w:val="825"/>
              <w:tabs>
                <w:tab w:val="left" w:pos="1080" w:leader="none"/>
              </w:tabs>
              <w:rPr>
                <w:sz w:val="24"/>
                <w:highlight w:val="none"/>
              </w:rPr>
            </w:pPr>
            <w:r>
              <w:rPr>
                <w:sz w:val="24"/>
                <w:highlight w:val="none"/>
              </w:rPr>
              <w:t xml:space="preserve">具体规定见第一章《投标邀请》</w:t>
            </w:r>
            <w:r>
              <w:rPr>
                <w:sz w:val="24"/>
                <w:highlight w:val="none"/>
              </w:rPr>
            </w:r>
            <w:r/>
          </w:p>
        </w:tc>
        <w:tc>
          <w:tcPr>
            <w:tcW w:w="881" w:type="dxa"/>
            <w:vAlign w:val="center"/>
            <w:textDirection w:val="lrTb"/>
            <w:noWrap w:val="false"/>
          </w:tcPr>
          <w:p>
            <w:pPr>
              <w:pStyle w:val="825"/>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pStyle w:val="825"/>
              <w:jc w:val="center"/>
              <w:tabs>
                <w:tab w:val="left" w:pos="1080" w:leader="none"/>
              </w:tabs>
              <w:rPr>
                <w:sz w:val="24"/>
                <w:highlight w:val="none"/>
              </w:rPr>
            </w:pPr>
            <w:r>
              <w:rPr>
                <w:sz w:val="24"/>
                <w:highlight w:val="none"/>
              </w:rPr>
              <w:t xml:space="preserve">1</w:t>
            </w:r>
            <w:r>
              <w:rPr>
                <w:rFonts w:hint="eastAsia"/>
                <w:sz w:val="24"/>
                <w:highlight w:val="none"/>
              </w:rPr>
              <w:t xml:space="preserve">-1</w:t>
            </w:r>
            <w:r>
              <w:rPr>
                <w:sz w:val="24"/>
                <w:highlight w:val="none"/>
              </w:rPr>
            </w:r>
            <w:r/>
          </w:p>
        </w:tc>
        <w:tc>
          <w:tcPr>
            <w:tcW w:w="1066" w:type="dxa"/>
            <w:vAlign w:val="center"/>
            <w:textDirection w:val="lrTb"/>
            <w:noWrap w:val="false"/>
          </w:tcPr>
          <w:p>
            <w:pPr>
              <w:pStyle w:val="825"/>
              <w:tabs>
                <w:tab w:val="left" w:pos="1080" w:leader="none"/>
              </w:tabs>
              <w:rPr>
                <w:sz w:val="24"/>
                <w:highlight w:val="none"/>
              </w:rPr>
            </w:pPr>
            <w:r>
              <w:rPr>
                <w:rFonts w:hint="eastAsia"/>
                <w:sz w:val="24"/>
                <w:highlight w:val="none"/>
              </w:rPr>
              <w:t xml:space="preserve">投标人资格声明函</w:t>
            </w:r>
            <w:r>
              <w:rPr>
                <w:sz w:val="24"/>
                <w:highlight w:val="none"/>
              </w:rPr>
            </w:r>
            <w:r/>
          </w:p>
        </w:tc>
        <w:tc>
          <w:tcPr>
            <w:tcW w:w="2595" w:type="dxa"/>
            <w:vAlign w:val="center"/>
            <w:textDirection w:val="lrTb"/>
            <w:noWrap w:val="false"/>
          </w:tcPr>
          <w:p>
            <w:pPr>
              <w:pStyle w:val="825"/>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rPr>
                <w:sz w:val="24"/>
                <w:highlight w:val="none"/>
              </w:rPr>
            </w:r>
            <w:r/>
          </w:p>
        </w:tc>
        <w:tc>
          <w:tcPr>
            <w:tcW w:w="881" w:type="dxa"/>
            <w:vAlign w:val="center"/>
            <w:textDirection w:val="lrTb"/>
            <w:noWrap w:val="false"/>
          </w:tcPr>
          <w:p>
            <w:pPr>
              <w:pStyle w:val="825"/>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455" w:type="dxa"/>
            <w:vAlign w:val="center"/>
            <w:textDirection w:val="lrTb"/>
            <w:noWrap w:val="false"/>
          </w:tcPr>
          <w:p>
            <w:pPr>
              <w:pStyle w:val="825"/>
              <w:jc w:val="center"/>
              <w:tabs>
                <w:tab w:val="left" w:pos="1080" w:leader="none"/>
              </w:tabs>
              <w:rPr>
                <w:sz w:val="24"/>
                <w:highlight w:val="none"/>
              </w:rPr>
            </w:pPr>
            <w:r>
              <w:rPr>
                <w:rFonts w:hint="eastAsia"/>
                <w:sz w:val="24"/>
                <w:highlight w:val="none"/>
              </w:rPr>
              <w:t xml:space="preserve">1-2</w:t>
            </w:r>
            <w:r>
              <w:rPr>
                <w:sz w:val="24"/>
                <w:highlight w:val="none"/>
              </w:rPr>
            </w:r>
            <w:r/>
          </w:p>
        </w:tc>
        <w:tc>
          <w:tcPr>
            <w:tcW w:w="1066" w:type="dxa"/>
            <w:vAlign w:val="center"/>
            <w:textDirection w:val="lrTb"/>
            <w:noWrap w:val="false"/>
          </w:tcPr>
          <w:p>
            <w:pPr>
              <w:pStyle w:val="825"/>
              <w:tabs>
                <w:tab w:val="left" w:pos="1080" w:leader="none"/>
              </w:tabs>
              <w:rPr>
                <w:sz w:val="24"/>
                <w:highlight w:val="none"/>
              </w:rPr>
            </w:pPr>
            <w:r>
              <w:rPr>
                <w:sz w:val="24"/>
                <w:highlight w:val="none"/>
              </w:rPr>
              <w:t xml:space="preserve">投标人信用记录</w:t>
            </w:r>
            <w:r>
              <w:rPr>
                <w:sz w:val="24"/>
                <w:highlight w:val="none"/>
              </w:rPr>
            </w:r>
            <w:r/>
          </w:p>
        </w:tc>
        <w:tc>
          <w:tcPr>
            <w:tcW w:w="2595" w:type="dxa"/>
            <w:vAlign w:val="center"/>
            <w:textDirection w:val="lrTb"/>
            <w:noWrap w:val="false"/>
          </w:tcPr>
          <w:p>
            <w:pPr>
              <w:pStyle w:val="825"/>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825"/>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rPr>
                <w:sz w:val="24"/>
                <w:highlight w:val="none"/>
              </w:rPr>
            </w:r>
            <w:r/>
          </w:p>
          <w:p>
            <w:pPr>
              <w:pStyle w:val="825"/>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825"/>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rPr>
                <w:sz w:val="24"/>
                <w:highlight w:val="none"/>
              </w:rPr>
            </w:r>
            <w:r/>
          </w:p>
        </w:tc>
        <w:tc>
          <w:tcPr>
            <w:tcW w:w="881" w:type="dxa"/>
            <w:vAlign w:val="center"/>
            <w:textDirection w:val="lrTb"/>
            <w:noWrap w:val="false"/>
          </w:tcPr>
          <w:p>
            <w:pPr>
              <w:pStyle w:val="825"/>
              <w:tabs>
                <w:tab w:val="left" w:pos="1080" w:leader="none"/>
              </w:tabs>
              <w:rPr>
                <w:sz w:val="24"/>
                <w:highlight w:val="none"/>
              </w:rPr>
            </w:pPr>
            <w:r>
              <w:rPr>
                <w:sz w:val="24"/>
                <w:highlight w:val="none"/>
              </w:rPr>
              <w:t xml:space="preserve">无须投标人提供，由</w:t>
            </w:r>
            <w:r>
              <w:rPr>
                <w:rFonts w:hint="eastAsia"/>
                <w:sz w:val="24"/>
                <w:highlight w:val="none"/>
              </w:rPr>
              <w:t xml:space="preserve">采购人或采购代理机构查询</w:t>
            </w:r>
            <w:r>
              <w:rPr>
                <w:sz w:val="24"/>
                <w:highlight w:val="none"/>
              </w:rPr>
              <w:t xml:space="preserve">。</w:t>
            </w:r>
            <w:r>
              <w:rPr>
                <w:sz w:val="24"/>
                <w:highlight w:val="none"/>
              </w:rPr>
            </w:r>
            <w:r/>
          </w:p>
        </w:tc>
      </w:tr>
      <w:tr>
        <w:trPr>
          <w:cantSplit/>
          <w:trHeight w:val="468"/>
        </w:trPr>
        <w:tc>
          <w:tcPr>
            <w:tcW w:w="455" w:type="dxa"/>
            <w:vAlign w:val="center"/>
            <w:textDirection w:val="lrTb"/>
            <w:noWrap w:val="false"/>
          </w:tcPr>
          <w:p>
            <w:pPr>
              <w:pStyle w:val="825"/>
              <w:jc w:val="center"/>
              <w:tabs>
                <w:tab w:val="left" w:pos="1080" w:leader="none"/>
              </w:tabs>
              <w:rPr>
                <w:sz w:val="24"/>
                <w:highlight w:val="none"/>
              </w:rPr>
            </w:pPr>
            <w:r>
              <w:rPr>
                <w:sz w:val="24"/>
                <w:highlight w:val="none"/>
              </w:rPr>
              <w:t xml:space="preserve">2</w:t>
            </w:r>
            <w:r>
              <w:rPr>
                <w:sz w:val="24"/>
                <w:highlight w:val="none"/>
              </w:rPr>
            </w:r>
            <w:r/>
          </w:p>
        </w:tc>
        <w:tc>
          <w:tcPr>
            <w:tcW w:w="1066" w:type="dxa"/>
            <w:vAlign w:val="center"/>
            <w:textDirection w:val="lrTb"/>
            <w:noWrap w:val="false"/>
          </w:tcPr>
          <w:p>
            <w:pPr>
              <w:pStyle w:val="825"/>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595" w:type="dxa"/>
            <w:vAlign w:val="center"/>
            <w:textDirection w:val="lrTb"/>
            <w:noWrap w:val="false"/>
          </w:tcPr>
          <w:p>
            <w:pPr>
              <w:pStyle w:val="825"/>
              <w:tabs>
                <w:tab w:val="left" w:pos="1080" w:leader="none"/>
              </w:tabs>
              <w:rPr>
                <w:sz w:val="24"/>
                <w:highlight w:val="none"/>
              </w:rPr>
            </w:pPr>
            <w:r>
              <w:rPr>
                <w:sz w:val="24"/>
                <w:highlight w:val="none"/>
              </w:rPr>
              <w:t xml:space="preserve">具体要求见第一章《投标邀请》</w:t>
            </w:r>
            <w:r>
              <w:rPr>
                <w:sz w:val="24"/>
                <w:highlight w:val="none"/>
              </w:rPr>
            </w:r>
            <w:r/>
          </w:p>
        </w:tc>
        <w:tc>
          <w:tcPr>
            <w:tcW w:w="881" w:type="dxa"/>
            <w:vAlign w:val="center"/>
            <w:textDirection w:val="lrTb"/>
            <w:noWrap w:val="false"/>
          </w:tcPr>
          <w:p>
            <w:pPr>
              <w:pStyle w:val="825"/>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pStyle w:val="825"/>
              <w:jc w:val="center"/>
              <w:tabs>
                <w:tab w:val="left" w:pos="1080" w:leader="none"/>
              </w:tabs>
              <w:rPr>
                <w:sz w:val="24"/>
                <w:highlight w:val="none"/>
              </w:rPr>
            </w:pPr>
            <w:r>
              <w:rPr>
                <w:sz w:val="24"/>
                <w:highlight w:val="none"/>
              </w:rPr>
              <w:t xml:space="preserve">2-1</w:t>
            </w:r>
            <w:r>
              <w:rPr>
                <w:sz w:val="24"/>
                <w:highlight w:val="none"/>
              </w:rPr>
            </w:r>
            <w:r/>
          </w:p>
        </w:tc>
        <w:tc>
          <w:tcPr>
            <w:tcW w:w="1066" w:type="dxa"/>
            <w:vAlign w:val="center"/>
            <w:textDirection w:val="lrTb"/>
            <w:noWrap w:val="false"/>
          </w:tcPr>
          <w:p>
            <w:pPr>
              <w:pStyle w:val="825"/>
              <w:tabs>
                <w:tab w:val="left" w:pos="1080" w:leader="none"/>
              </w:tabs>
              <w:rPr>
                <w:sz w:val="24"/>
                <w:highlight w:val="none"/>
              </w:rPr>
            </w:pPr>
            <w:r>
              <w:rPr>
                <w:sz w:val="24"/>
                <w:highlight w:val="none"/>
              </w:rPr>
              <w:t xml:space="preserve">中小企业声明函</w:t>
            </w:r>
            <w:r>
              <w:rPr>
                <w:sz w:val="24"/>
                <w:highlight w:val="none"/>
              </w:rPr>
            </w:r>
            <w:r/>
          </w:p>
        </w:tc>
        <w:tc>
          <w:tcPr>
            <w:tcW w:w="2595" w:type="dxa"/>
            <w:vAlign w:val="center"/>
            <w:textDirection w:val="lrTb"/>
            <w:noWrap w:val="false"/>
          </w:tcPr>
          <w:p>
            <w:pPr>
              <w:pStyle w:val="825"/>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rPr>
                <w:sz w:val="24"/>
                <w:highlight w:val="none"/>
              </w:rPr>
            </w:r>
            <w:r/>
          </w:p>
          <w:p>
            <w:pPr>
              <w:pStyle w:val="825"/>
              <w:tabs>
                <w:tab w:val="left" w:pos="1080" w:leader="none"/>
              </w:tabs>
              <w:rPr>
                <w:sz w:val="24"/>
                <w:highlight w:val="none"/>
              </w:rPr>
            </w:pPr>
            <w:r>
              <w:rPr>
                <w:sz w:val="24"/>
                <w:highlight w:val="none"/>
              </w:rPr>
            </w:r>
            <w:r/>
          </w:p>
          <w:p>
            <w:pPr>
              <w:pStyle w:val="825"/>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rPr>
                <w:sz w:val="24"/>
                <w:highlight w:val="none"/>
              </w:rPr>
            </w:r>
            <w:r/>
          </w:p>
          <w:p>
            <w:pPr>
              <w:pStyle w:val="825"/>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rPr>
                <w:sz w:val="24"/>
                <w:highlight w:val="none"/>
              </w:rPr>
            </w:r>
            <w:r/>
          </w:p>
        </w:tc>
        <w:tc>
          <w:tcPr>
            <w:tcW w:w="881" w:type="dxa"/>
            <w:vAlign w:val="center"/>
            <w:textDirection w:val="lrTb"/>
            <w:noWrap w:val="false"/>
          </w:tcPr>
          <w:p>
            <w:pPr>
              <w:pStyle w:val="825"/>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455" w:type="dxa"/>
            <w:vAlign w:val="center"/>
            <w:textDirection w:val="lrTb"/>
            <w:noWrap w:val="false"/>
          </w:tcPr>
          <w:p>
            <w:pPr>
              <w:pStyle w:val="825"/>
              <w:jc w:val="center"/>
              <w:tabs>
                <w:tab w:val="left" w:pos="1080" w:leader="none"/>
              </w:tabs>
              <w:rPr>
                <w:rFonts w:hint="eastAsia" w:ascii="宋体" w:hAnsi="宋体" w:eastAsia="宋体" w:cs="宋体"/>
                <w:sz w:val="24"/>
                <w:szCs w:val="24"/>
                <w:highlight w:val="none"/>
                <w:lang w:val="en-US" w:eastAsia="zh-CN" w:bidi="ar-SA"/>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2</w:t>
            </w:r>
            <w:r>
              <w:rPr>
                <w:rFonts w:hint="eastAsia" w:ascii="宋体" w:hAnsi="宋体" w:eastAsia="宋体" w:cs="宋体"/>
                <w:sz w:val="24"/>
                <w:szCs w:val="24"/>
                <w:highlight w:val="none"/>
                <w:lang w:val="en-US" w:eastAsia="zh-CN" w:bidi="ar-SA"/>
              </w:rPr>
            </w:r>
            <w:r/>
          </w:p>
        </w:tc>
        <w:tc>
          <w:tcPr>
            <w:tcW w:w="1066" w:type="dxa"/>
            <w:vAlign w:val="center"/>
            <w:textDirection w:val="lrTb"/>
            <w:noWrap w:val="false"/>
          </w:tcPr>
          <w:p>
            <w:pPr>
              <w:pStyle w:val="825"/>
              <w:tabs>
                <w:tab w:val="left" w:pos="1080" w:leader="none"/>
              </w:tabs>
              <w:rPr>
                <w:rFonts w:hint="eastAsia" w:ascii="Times New Roman" w:hAnsi="Times New Roman" w:eastAsia="宋体" w:cs="Times New Roman"/>
                <w:sz w:val="24"/>
                <w:szCs w:val="24"/>
                <w:highlight w:val="none"/>
                <w:lang w:val="en-US" w:eastAsia="zh-CN" w:bidi="ar-SA"/>
              </w:rPr>
            </w:pPr>
            <w:r>
              <w:rPr>
                <w:sz w:val="24"/>
                <w:highlight w:val="none"/>
              </w:rPr>
              <w:t xml:space="preserve">其它落实政府采购政策的资格要求</w:t>
            </w:r>
            <w:r>
              <w:rPr>
                <w:rFonts w:hint="eastAsia" w:ascii="Times New Roman" w:hAnsi="Times New Roman" w:eastAsia="宋体" w:cs="Times New Roman"/>
                <w:sz w:val="24"/>
                <w:szCs w:val="24"/>
                <w:highlight w:val="none"/>
                <w:lang w:val="en-US" w:eastAsia="zh-CN" w:bidi="ar-SA"/>
              </w:rPr>
            </w:r>
            <w:r/>
          </w:p>
        </w:tc>
        <w:tc>
          <w:tcPr>
            <w:tcW w:w="2595" w:type="dxa"/>
            <w:vAlign w:val="center"/>
            <w:textDirection w:val="lrTb"/>
            <w:noWrap w:val="false"/>
          </w:tcPr>
          <w:p>
            <w:pPr>
              <w:pStyle w:val="825"/>
              <w:tabs>
                <w:tab w:val="left" w:pos="1080" w:leader="none"/>
              </w:tabs>
              <w:rPr>
                <w:rFonts w:hint="eastAsia" w:ascii="Times New Roman" w:hAnsi="Times New Roman" w:eastAsia="宋体" w:cs="Times New Roman"/>
                <w:sz w:val="24"/>
                <w:szCs w:val="24"/>
                <w:highlight w:val="none"/>
                <w:lang w:val="en-US" w:eastAsia="zh-CN" w:bidi="ar-SA"/>
              </w:rPr>
            </w:pPr>
            <w:r>
              <w:rPr>
                <w:sz w:val="24"/>
                <w:highlight w:val="none"/>
              </w:rPr>
              <w:t xml:space="preserve">如有，见第一章《采购邀请》</w:t>
            </w:r>
            <w:r>
              <w:rPr>
                <w:rFonts w:hint="eastAsia" w:ascii="Times New Roman" w:hAnsi="Times New Roman" w:eastAsia="宋体" w:cs="Times New Roman"/>
                <w:sz w:val="24"/>
                <w:szCs w:val="24"/>
                <w:highlight w:val="none"/>
                <w:lang w:val="en-US" w:eastAsia="zh-CN" w:bidi="ar-SA"/>
              </w:rPr>
            </w:r>
            <w:r/>
          </w:p>
        </w:tc>
        <w:tc>
          <w:tcPr>
            <w:tcW w:w="881" w:type="dxa"/>
            <w:vAlign w:val="center"/>
            <w:textDirection w:val="lrTb"/>
            <w:noWrap w:val="false"/>
          </w:tcPr>
          <w:p>
            <w:pPr>
              <w:pStyle w:val="825"/>
              <w:tabs>
                <w:tab w:val="left" w:pos="1080" w:leader="none"/>
              </w:tabs>
              <w:rPr>
                <w:rFonts w:hint="eastAsia" w:ascii="Times New Roman" w:hAnsi="Times New Roman" w:eastAsia="宋体" w:cs="Times New Roman"/>
                <w:sz w:val="24"/>
                <w:szCs w:val="24"/>
                <w:highlight w:val="none"/>
                <w:lang w:val="en-US" w:eastAsia="zh-CN" w:bidi="ar-SA"/>
              </w:rPr>
            </w:pPr>
            <w:r>
              <w:rPr>
                <w:sz w:val="24"/>
                <w:highlight w:val="none"/>
              </w:rPr>
              <w:t xml:space="preserve">提供</w:t>
            </w:r>
            <w:r>
              <w:rPr>
                <w:rFonts w:hint="eastAsia"/>
                <w:sz w:val="24"/>
                <w:highlight w:val="none"/>
                <w:lang w:val="en-US" w:eastAsia="zh-CN"/>
              </w:rPr>
              <w:t xml:space="preserve">相关</w:t>
            </w:r>
            <w:r>
              <w:rPr>
                <w:sz w:val="24"/>
                <w:highlight w:val="none"/>
              </w:rPr>
              <w:t xml:space="preserve">证明文件</w:t>
            </w:r>
            <w:r>
              <w:rPr>
                <w:rFonts w:hint="eastAsia" w:ascii="Times New Roman" w:hAnsi="Times New Roman" w:eastAsia="宋体" w:cs="Times New Roman"/>
                <w:sz w:val="24"/>
                <w:szCs w:val="24"/>
                <w:highlight w:val="none"/>
                <w:lang w:val="en-US" w:eastAsia="zh-CN" w:bidi="ar-SA"/>
              </w:rPr>
            </w:r>
            <w:r/>
          </w:p>
        </w:tc>
      </w:tr>
      <w:tr>
        <w:trPr>
          <w:cantSplit/>
          <w:trHeight w:val="468"/>
        </w:trPr>
        <w:tc>
          <w:tcPr>
            <w:tcW w:w="455" w:type="dxa"/>
            <w:vAlign w:val="center"/>
            <w:textDirection w:val="lrTb"/>
            <w:noWrap w:val="false"/>
          </w:tcPr>
          <w:p>
            <w:pPr>
              <w:pStyle w:val="825"/>
              <w:jc w:val="center"/>
              <w:tabs>
                <w:tab w:val="left" w:pos="1080" w:leader="none"/>
              </w:tabs>
              <w:rPr>
                <w:sz w:val="24"/>
                <w:highlight w:val="none"/>
              </w:rPr>
            </w:pPr>
            <w:r>
              <w:rPr>
                <w:sz w:val="24"/>
                <w:highlight w:val="none"/>
              </w:rPr>
              <w:t xml:space="preserve">3</w:t>
            </w:r>
            <w:r>
              <w:rPr>
                <w:sz w:val="24"/>
                <w:highlight w:val="none"/>
              </w:rPr>
            </w:r>
            <w:r/>
          </w:p>
        </w:tc>
        <w:tc>
          <w:tcPr>
            <w:tcW w:w="1066" w:type="dxa"/>
            <w:vAlign w:val="center"/>
            <w:textDirection w:val="lrTb"/>
            <w:noWrap w:val="false"/>
          </w:tcPr>
          <w:p>
            <w:pPr>
              <w:pStyle w:val="825"/>
              <w:tabs>
                <w:tab w:val="left" w:pos="1080" w:leader="none"/>
              </w:tabs>
              <w:rPr>
                <w:sz w:val="24"/>
                <w:highlight w:val="none"/>
              </w:rPr>
            </w:pPr>
            <w:r>
              <w:rPr>
                <w:sz w:val="24"/>
                <w:highlight w:val="none"/>
              </w:rPr>
              <w:t xml:space="preserve">本项目的特定资格要求</w:t>
            </w:r>
            <w:r>
              <w:rPr>
                <w:sz w:val="24"/>
                <w:highlight w:val="none"/>
              </w:rPr>
            </w:r>
            <w:r/>
          </w:p>
        </w:tc>
        <w:tc>
          <w:tcPr>
            <w:tcW w:w="2595" w:type="dxa"/>
            <w:vAlign w:val="center"/>
            <w:textDirection w:val="lrTb"/>
            <w:noWrap w:val="false"/>
          </w:tcPr>
          <w:p>
            <w:pPr>
              <w:pStyle w:val="825"/>
              <w:tabs>
                <w:tab w:val="left" w:pos="1080" w:leader="none"/>
              </w:tabs>
              <w:rPr>
                <w:sz w:val="24"/>
                <w:highlight w:val="none"/>
              </w:rPr>
            </w:pPr>
            <w:r>
              <w:rPr>
                <w:rFonts w:hint="eastAsia"/>
                <w:sz w:val="24"/>
                <w:highlight w:val="none"/>
                <w:lang w:val="en-US" w:eastAsia="zh-CN"/>
              </w:rPr>
              <w:t xml:space="preserve">如有，</w:t>
            </w:r>
            <w:r>
              <w:rPr>
                <w:sz w:val="24"/>
                <w:highlight w:val="none"/>
              </w:rPr>
              <w:t xml:space="preserve">见第一章《投标邀请》</w:t>
            </w:r>
            <w:r>
              <w:rPr>
                <w:sz w:val="24"/>
                <w:highlight w:val="none"/>
              </w:rPr>
            </w:r>
            <w:r/>
          </w:p>
        </w:tc>
        <w:tc>
          <w:tcPr>
            <w:tcW w:w="881" w:type="dxa"/>
            <w:vAlign w:val="center"/>
            <w:textDirection w:val="lrTb"/>
            <w:noWrap w:val="false"/>
          </w:tcPr>
          <w:p>
            <w:pPr>
              <w:pStyle w:val="825"/>
              <w:tabs>
                <w:tab w:val="left" w:pos="1080" w:leader="none"/>
              </w:tabs>
              <w:rPr>
                <w:sz w:val="24"/>
                <w:highlight w:val="none"/>
              </w:rPr>
            </w:pPr>
            <w:r>
              <w:rPr>
                <w:sz w:val="24"/>
                <w:highlight w:val="none"/>
              </w:rPr>
            </w:r>
            <w:r/>
          </w:p>
        </w:tc>
      </w:tr>
      <w:tr>
        <w:trPr>
          <w:cantSplit/>
          <w:trHeight w:val="460"/>
        </w:trPr>
        <w:tc>
          <w:tcPr>
            <w:tcW w:w="455" w:type="dxa"/>
            <w:vAlign w:val="center"/>
            <w:textDirection w:val="lrTb"/>
            <w:noWrap w:val="false"/>
          </w:tcPr>
          <w:p>
            <w:pPr>
              <w:pStyle w:val="825"/>
              <w:jc w:val="center"/>
              <w:tabs>
                <w:tab w:val="left" w:pos="1080" w:leader="none"/>
              </w:tabs>
              <w:rPr>
                <w:rFonts w:hint="eastAsia" w:eastAsia="宋体"/>
                <w:sz w:val="24"/>
                <w:highlight w:val="none"/>
                <w:lang w:eastAsia="zh-CN"/>
              </w:rPr>
            </w:pPr>
            <w:r>
              <w:rPr>
                <w:sz w:val="24"/>
                <w:highlight w:val="none"/>
              </w:rPr>
              <w:t xml:space="preserve">3-</w:t>
            </w:r>
            <w:r>
              <w:rPr>
                <w:rFonts w:hint="eastAsia"/>
                <w:sz w:val="24"/>
                <w:highlight w:val="none"/>
                <w:lang w:val="en-US" w:eastAsia="zh-CN"/>
              </w:rPr>
              <w:t xml:space="preserve">1</w:t>
            </w:r>
            <w:r>
              <w:rPr>
                <w:rFonts w:hint="eastAsia" w:eastAsia="宋体"/>
                <w:sz w:val="24"/>
                <w:highlight w:val="none"/>
                <w:lang w:eastAsia="zh-CN"/>
              </w:rPr>
            </w:r>
            <w:r/>
          </w:p>
        </w:tc>
        <w:tc>
          <w:tcPr>
            <w:tcW w:w="1066" w:type="dxa"/>
            <w:vAlign w:val="center"/>
            <w:textDirection w:val="lrTb"/>
            <w:noWrap w:val="false"/>
          </w:tcPr>
          <w:p>
            <w:pPr>
              <w:pStyle w:val="825"/>
              <w:tabs>
                <w:tab w:val="left" w:pos="1080" w:leader="none"/>
              </w:tabs>
              <w:rPr>
                <w:sz w:val="24"/>
                <w:highlight w:val="none"/>
              </w:rPr>
            </w:pPr>
            <w:r>
              <w:rPr>
                <w:sz w:val="24"/>
                <w:highlight w:val="none"/>
              </w:rPr>
              <w:t xml:space="preserve">其他特定资格要求</w:t>
            </w:r>
            <w:r>
              <w:rPr>
                <w:sz w:val="24"/>
                <w:highlight w:val="none"/>
              </w:rPr>
            </w:r>
            <w:r/>
          </w:p>
        </w:tc>
        <w:tc>
          <w:tcPr>
            <w:tcW w:w="2595" w:type="dxa"/>
            <w:vAlign w:val="center"/>
            <w:textDirection w:val="lrTb"/>
            <w:noWrap w:val="false"/>
          </w:tcPr>
          <w:p>
            <w:pPr>
              <w:pStyle w:val="825"/>
              <w:tabs>
                <w:tab w:val="left" w:pos="1080" w:leader="none"/>
              </w:tabs>
              <w:rPr>
                <w:sz w:val="24"/>
                <w:highlight w:val="none"/>
              </w:rPr>
            </w:pPr>
            <w:r>
              <w:rPr>
                <w:rFonts w:hint="eastAsia"/>
                <w:sz w:val="24"/>
                <w:highlight w:val="none"/>
                <w:lang w:val="en-US" w:eastAsia="zh-CN"/>
              </w:rPr>
              <w:t xml:space="preserve">如有，</w:t>
            </w:r>
            <w:r>
              <w:rPr>
                <w:color w:val="000000"/>
                <w:sz w:val="24"/>
                <w:highlight w:val="none"/>
              </w:rPr>
              <w:t xml:space="preserve">见</w:t>
            </w:r>
            <w:r>
              <w:rPr>
                <w:sz w:val="24"/>
                <w:highlight w:val="none"/>
              </w:rPr>
              <w:t xml:space="preserve">第一章《投标邀请》</w:t>
            </w:r>
            <w:r>
              <w:rPr>
                <w:sz w:val="24"/>
                <w:highlight w:val="none"/>
              </w:rPr>
            </w:r>
            <w:r/>
          </w:p>
        </w:tc>
        <w:tc>
          <w:tcPr>
            <w:tcW w:w="881" w:type="dxa"/>
            <w:vAlign w:val="center"/>
            <w:textDirection w:val="lrTb"/>
            <w:noWrap w:val="false"/>
          </w:tcPr>
          <w:p>
            <w:pPr>
              <w:pStyle w:val="825"/>
              <w:tabs>
                <w:tab w:val="left" w:pos="1080" w:leader="none"/>
              </w:tabs>
              <w:rPr>
                <w:sz w:val="24"/>
                <w:highlight w:val="none"/>
              </w:rPr>
            </w:pPr>
            <w:r>
              <w:rPr>
                <w:sz w:val="24"/>
                <w:highlight w:val="none"/>
              </w:rPr>
              <w:t xml:space="preserve">提供</w:t>
            </w:r>
            <w:r>
              <w:rPr>
                <w:rFonts w:hint="eastAsia"/>
                <w:sz w:val="24"/>
                <w:highlight w:val="none"/>
                <w:lang w:val="en-US" w:eastAsia="zh-CN"/>
              </w:rPr>
              <w:t xml:space="preserve">相关</w:t>
            </w:r>
            <w:r>
              <w:rPr>
                <w:sz w:val="24"/>
                <w:highlight w:val="none"/>
              </w:rPr>
              <w:t xml:space="preserve">证明文件</w:t>
            </w:r>
            <w:r>
              <w:rPr>
                <w:sz w:val="24"/>
                <w:highlight w:val="none"/>
              </w:rPr>
            </w:r>
            <w:r/>
          </w:p>
        </w:tc>
      </w:tr>
    </w:tbl>
    <w:p>
      <w:pPr>
        <w:pStyle w:val="825"/>
        <w:jc w:val="left"/>
        <w:widowControl/>
        <w:rPr>
          <w:sz w:val="24"/>
          <w:highlight w:val="none"/>
        </w:rPr>
      </w:pPr>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718"/>
      <w:r/>
      <w:bookmarkStart w:id="721" w:name="_Toc127161490"/>
      <w:r/>
      <w:bookmarkStart w:id="722" w:name="_Toc226965858"/>
      <w:r/>
      <w:bookmarkStart w:id="723" w:name="_Toc353825550"/>
      <w:r/>
      <w:bookmarkStart w:id="724" w:name="_Toc353873940"/>
      <w:r/>
      <w:bookmarkStart w:id="725" w:name="_Toc127151779"/>
      <w:r>
        <w:rPr>
          <w:sz w:val="24"/>
          <w:highlight w:val="none"/>
        </w:rPr>
        <w:br w:type="page" w:clear="all"/>
      </w:r>
      <w:r>
        <w:rPr>
          <w:sz w:val="24"/>
          <w:highlight w:val="none"/>
        </w:rPr>
      </w:r>
      <w:r/>
    </w:p>
    <w:p>
      <w:pPr>
        <w:pStyle w:val="825"/>
        <w:jc w:val="center"/>
        <w:spacing w:line="360" w:lineRule="auto"/>
        <w:rPr>
          <w:b/>
          <w:sz w:val="36"/>
          <w:szCs w:val="36"/>
          <w:highlight w:val="none"/>
        </w:rPr>
        <w:outlineLvl w:val="0"/>
      </w:pPr>
      <w:r/>
      <w:bookmarkStart w:id="726" w:name="_Toc99301423"/>
      <w:r>
        <w:rPr>
          <w:b/>
          <w:sz w:val="36"/>
          <w:szCs w:val="36"/>
          <w:highlight w:val="none"/>
        </w:rPr>
        <w:t xml:space="preserve">第四章   </w:t>
      </w:r>
      <w:bookmarkEnd w:id="721"/>
      <w:r/>
      <w:bookmarkEnd w:id="722"/>
      <w:r/>
      <w:bookmarkEnd w:id="723"/>
      <w:r/>
      <w:bookmarkEnd w:id="724"/>
      <w:r/>
      <w:bookmarkEnd w:id="725"/>
      <w:r/>
      <w:bookmarkStart w:id="727" w:name="_Hlt164229061"/>
      <w:r/>
      <w:bookmarkEnd w:id="727"/>
      <w:r>
        <w:rPr>
          <w:b/>
          <w:sz w:val="36"/>
          <w:szCs w:val="36"/>
          <w:highlight w:val="none"/>
        </w:rPr>
        <w:t xml:space="preserve">评标程序、评标方法和评标标准</w:t>
      </w:r>
      <w:bookmarkEnd w:id="726"/>
      <w:r>
        <w:rPr>
          <w:b/>
          <w:sz w:val="36"/>
          <w:szCs w:val="36"/>
          <w:highlight w:val="none"/>
        </w:rPr>
      </w:r>
      <w:r/>
    </w:p>
    <w:p>
      <w:pPr>
        <w:pStyle w:val="825"/>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825"/>
        <w:numPr>
          <w:ilvl w:val="0"/>
          <w:numId w:val="12"/>
        </w:numPr>
        <w:spacing w:line="360" w:lineRule="auto"/>
        <w:tabs>
          <w:tab w:val="left" w:pos="360" w:leader="none"/>
          <w:tab w:val="left" w:pos="900" w:leader="none"/>
        </w:tabs>
        <w:rPr>
          <w:sz w:val="24"/>
          <w:highlight w:val="none"/>
        </w:rPr>
        <w:outlineLvl w:val="1"/>
      </w:pPr>
      <w:r/>
      <w:bookmarkStart w:id="728" w:name="_Toc127151541"/>
      <w:r/>
      <w:bookmarkStart w:id="729" w:name="_Toc150509292"/>
      <w:r/>
      <w:bookmarkStart w:id="730" w:name="_Toc226337237"/>
      <w:r/>
      <w:bookmarkStart w:id="731" w:name="_Toc164608655"/>
      <w:r/>
      <w:bookmarkStart w:id="732" w:name="_Toc305158883"/>
      <w:r/>
      <w:bookmarkStart w:id="733" w:name="_Toc151193855"/>
      <w:r/>
      <w:bookmarkStart w:id="734" w:name="_Toc226965814"/>
      <w:r/>
      <w:bookmarkStart w:id="735" w:name="_Toc127161455"/>
      <w:r/>
      <w:bookmarkStart w:id="736" w:name="_Toc226965731"/>
      <w:r/>
      <w:bookmarkStart w:id="737" w:name="_Toc151193639"/>
      <w:r/>
      <w:bookmarkStart w:id="738" w:name="_Toc151193711"/>
      <w:r/>
      <w:bookmarkStart w:id="739" w:name="_Toc142311043"/>
      <w:r/>
      <w:bookmarkStart w:id="740" w:name="_Toc226309785"/>
      <w:r/>
      <w:bookmarkStart w:id="741" w:name="_Toc149720834"/>
      <w:r/>
      <w:bookmarkStart w:id="742" w:name="_Toc151193929"/>
      <w:r/>
      <w:bookmarkStart w:id="743" w:name="_Toc151190168"/>
      <w:r/>
      <w:bookmarkStart w:id="744" w:name="_Toc127151742"/>
      <w:r/>
      <w:bookmarkStart w:id="745" w:name="_Toc164608810"/>
      <w:r/>
      <w:bookmarkStart w:id="746" w:name="_Toc150480779"/>
      <w:r/>
      <w:bookmarkStart w:id="747" w:name="_Toc164351635"/>
      <w:r/>
      <w:bookmarkStart w:id="748" w:name="_Toc164229236"/>
      <w:r/>
      <w:bookmarkStart w:id="749" w:name="_Toc195842906"/>
      <w:r/>
      <w:bookmarkStart w:id="750" w:name="_Toc264969231"/>
      <w:r/>
      <w:bookmarkStart w:id="751" w:name="_Toc305158809"/>
      <w:r/>
      <w:bookmarkStart w:id="752" w:name="_Toc265228379"/>
      <w:r/>
      <w:bookmarkStart w:id="753" w:name="_Toc164229382"/>
      <w:r/>
      <w:bookmarkStart w:id="754" w:name="_Toc150774746"/>
      <w:r/>
      <w:bookmarkStart w:id="755" w:name="_Toc150774641"/>
      <w:r/>
      <w:bookmarkStart w:id="756" w:name="_Toc151193783"/>
      <w:r/>
      <w:bookmarkStart w:id="757" w:name="_Toc353825551"/>
      <w:r/>
      <w:bookmarkStart w:id="758" w:name="_Toc353873941"/>
      <w:r/>
      <w:bookmarkStart w:id="759" w:name="_Toc353873665"/>
      <w:r/>
      <w:bookmarkStart w:id="760" w:name="_Toc142311057"/>
      <w:r/>
      <w:bookmarkStart w:id="761" w:name="_Toc150480793"/>
      <w:r/>
      <w:bookmarkStart w:id="762" w:name="_Toc353873935"/>
      <w:r/>
      <w:bookmarkStart w:id="763" w:name="_Toc226337251"/>
      <w:r/>
      <w:bookmarkStart w:id="764" w:name="_Toc150774760"/>
      <w:r/>
      <w:bookmarkStart w:id="765" w:name="_Toc195842920"/>
      <w:r/>
      <w:bookmarkStart w:id="766" w:name="_Toc264969245"/>
      <w:r/>
      <w:bookmarkStart w:id="767" w:name="_Toc265228393"/>
      <w:r/>
      <w:bookmarkStart w:id="768" w:name="_Toc305158823"/>
      <w:r/>
      <w:bookmarkStart w:id="769" w:name="_Toc127151555"/>
      <w:r/>
      <w:bookmarkStart w:id="770" w:name="_Toc226965828"/>
      <w:r/>
      <w:bookmarkStart w:id="771" w:name="_Toc353825545"/>
      <w:r/>
      <w:bookmarkStart w:id="772" w:name="_Toc305158897"/>
      <w:r>
        <w:rPr>
          <w:sz w:val="24"/>
          <w:highlight w:val="none"/>
        </w:rPr>
        <w:t xml:space="preserve">投标文件的符合性审查</w:t>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Pr>
          <w:sz w:val="24"/>
          <w:highlight w:val="none"/>
        </w:rPr>
      </w:r>
      <w:r/>
    </w:p>
    <w:p>
      <w:pPr>
        <w:pStyle w:val="82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73" w:name="_Toc520356167"/>
      <w:r>
        <w:rPr>
          <w:sz w:val="24"/>
          <w:highlight w:val="none"/>
        </w:rPr>
      </w:r>
      <w:r/>
    </w:p>
    <w:p>
      <w:pPr>
        <w:pStyle w:val="82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73"/>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rPr>
          <w:sz w:val="24"/>
          <w:highlight w:val="none"/>
        </w:rPr>
      </w:r>
      <w:r/>
    </w:p>
    <w:p>
      <w:pPr>
        <w:pStyle w:val="825"/>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29"/>
      </w:tblGrid>
      <w:tr>
        <w:trPr>
          <w:trHeight w:val="300"/>
        </w:trPr>
        <w:tc>
          <w:tcPr>
            <w:tcW w:w="402" w:type="dxa"/>
            <w:vAlign w:val="center"/>
            <w:textDirection w:val="lrTb"/>
            <w:noWrap w:val="false"/>
          </w:tcPr>
          <w:p>
            <w:pPr>
              <w:pStyle w:val="825"/>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825"/>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1" w:type="dxa"/>
            <w:vAlign w:val="center"/>
            <w:textDirection w:val="lrTb"/>
            <w:noWrap w:val="false"/>
          </w:tcPr>
          <w:p>
            <w:pPr>
              <w:pStyle w:val="825"/>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825"/>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825"/>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1" w:type="dxa"/>
            <w:vAlign w:val="center"/>
            <w:textDirection w:val="lrTb"/>
            <w:noWrap w:val="false"/>
          </w:tcPr>
          <w:p>
            <w:pPr>
              <w:pStyle w:val="825"/>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25"/>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825"/>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1" w:type="dxa"/>
            <w:vAlign w:val="center"/>
            <w:textDirection w:val="lrTb"/>
            <w:noWrap w:val="false"/>
          </w:tcPr>
          <w:p>
            <w:pPr>
              <w:pStyle w:val="825"/>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rPr>
                <w:color w:val="000000"/>
                <w:sz w:val="24"/>
                <w:highlight w:val="none"/>
              </w:rPr>
            </w:r>
            <w:r/>
          </w:p>
        </w:tc>
      </w:tr>
      <w:tr>
        <w:trPr>
          <w:trHeight w:val="685"/>
        </w:trPr>
        <w:tc>
          <w:tcPr>
            <w:tcW w:w="402" w:type="dxa"/>
            <w:vAlign w:val="center"/>
            <w:textDirection w:val="lrTb"/>
            <w:noWrap w:val="false"/>
          </w:tcPr>
          <w:p>
            <w:pPr>
              <w:pStyle w:val="825"/>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825"/>
              <w:jc w:val="left"/>
              <w:widowControl/>
              <w:rPr>
                <w:color w:val="000000"/>
                <w:sz w:val="24"/>
                <w:highlight w:val="none"/>
              </w:rPr>
            </w:pPr>
            <w:r>
              <w:rPr>
                <w:b/>
                <w:bCs/>
                <w:color w:val="000000"/>
                <w:sz w:val="24"/>
                <w:highlight w:val="none"/>
              </w:rPr>
              <w:t xml:space="preserve">投标报价</w:t>
            </w:r>
            <w:r>
              <w:rPr>
                <w:color w:val="000000"/>
                <w:sz w:val="24"/>
                <w:highlight w:val="none"/>
              </w:rPr>
            </w:r>
            <w:r/>
          </w:p>
        </w:tc>
        <w:tc>
          <w:tcPr>
            <w:tcW w:w="3621" w:type="dxa"/>
            <w:vAlign w:val="center"/>
            <w:textDirection w:val="lrTb"/>
            <w:noWrap w:val="false"/>
          </w:tcPr>
          <w:p>
            <w:pPr>
              <w:pStyle w:val="825"/>
              <w:jc w:val="left"/>
              <w:widowControl/>
              <w:rPr>
                <w:b/>
                <w:bCs/>
                <w:color w:val="000000"/>
                <w:sz w:val="24"/>
                <w:highlight w:val="none"/>
              </w:rPr>
            </w:pPr>
            <w:r>
              <w:rPr>
                <w:b/>
                <w:bCs/>
                <w:color w:val="000000"/>
                <w:sz w:val="24"/>
                <w:highlight w:val="none"/>
              </w:rPr>
              <w:t xml:space="preserve">投标报价</w:t>
            </w:r>
            <w:r>
              <w:rPr>
                <w:b/>
                <w:bCs/>
                <w:color w:val="000000"/>
                <w:sz w:val="24"/>
                <w:highlight w:val="none"/>
              </w:rPr>
              <w:t xml:space="preserve">超过招标文件中规定的项目/采购包预算金额或者项目/采购包最高限价</w:t>
            </w:r>
            <w:r>
              <w:rPr>
                <w:rFonts w:hint="eastAsia"/>
                <w:b/>
                <w:bCs/>
                <w:color w:val="000000"/>
                <w:sz w:val="24"/>
                <w:highlight w:val="none"/>
              </w:rPr>
              <w:t xml:space="preserve">作为无效响应处理</w:t>
            </w:r>
            <w:r>
              <w:rPr>
                <w:b/>
                <w:bCs/>
                <w:color w:val="000000"/>
                <w:sz w:val="24"/>
                <w:highlight w:val="none"/>
              </w:rPr>
              <w:t xml:space="preserve">；</w:t>
            </w:r>
            <w:r>
              <w:rPr>
                <w:b/>
                <w:bCs/>
                <w:color w:val="000000"/>
                <w:sz w:val="24"/>
                <w:highlight w:val="none"/>
              </w:rPr>
            </w:r>
            <w:r/>
          </w:p>
          <w:p>
            <w:pPr>
              <w:pStyle w:val="825"/>
              <w:jc w:val="left"/>
              <w:widowControl/>
              <w:rPr>
                <w:rFonts w:hint="eastAsia" w:eastAsia="宋体"/>
                <w:color w:val="000000"/>
                <w:sz w:val="24"/>
                <w:highlight w:val="none"/>
                <w:lang w:eastAsia="zh-CN"/>
              </w:rPr>
            </w:pPr>
            <w:r>
              <w:rPr>
                <w:rFonts w:hint="eastAsia"/>
                <w:b/>
                <w:bCs/>
                <w:color w:val="000000"/>
                <w:sz w:val="24"/>
                <w:highlight w:val="none"/>
              </w:rPr>
              <w:t xml:space="preserve">投标报价时的投标总价不得高于项目最高限价，</w:t>
            </w:r>
            <w:r>
              <w:rPr>
                <w:rFonts w:hint="eastAsia"/>
                <w:b/>
                <w:bCs/>
                <w:color w:val="000000"/>
                <w:sz w:val="24"/>
                <w:highlight w:val="none"/>
                <w:lang w:val="en-US" w:eastAsia="zh-CN"/>
              </w:rPr>
              <w:t xml:space="preserve">投标</w:t>
            </w:r>
            <w:r>
              <w:rPr>
                <w:rFonts w:hint="eastAsia"/>
                <w:b/>
                <w:bCs/>
                <w:color w:val="000000"/>
                <w:sz w:val="24"/>
                <w:highlight w:val="none"/>
              </w:rPr>
              <w:t xml:space="preserve">单价不得高于全费用综合单价限价，否则作为无效响应处理。</w:t>
            </w:r>
            <w:r>
              <w:rPr>
                <w:rFonts w:hint="eastAsia" w:eastAsia="宋体"/>
                <w:color w:val="000000"/>
                <w:sz w:val="24"/>
                <w:highlight w:val="none"/>
                <w:lang w:eastAsia="zh-CN"/>
              </w:rPr>
            </w:r>
            <w:r/>
          </w:p>
        </w:tc>
      </w:tr>
      <w:tr>
        <w:trPr>
          <w:trHeight w:val="685"/>
        </w:trPr>
        <w:tc>
          <w:tcPr>
            <w:tcW w:w="402" w:type="dxa"/>
            <w:vAlign w:val="center"/>
            <w:textDirection w:val="lrTb"/>
            <w:noWrap w:val="false"/>
          </w:tcPr>
          <w:p>
            <w:pPr>
              <w:pStyle w:val="825"/>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825"/>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1" w:type="dxa"/>
            <w:vAlign w:val="center"/>
            <w:textDirection w:val="lrTb"/>
            <w:noWrap w:val="false"/>
          </w:tcPr>
          <w:p>
            <w:pPr>
              <w:pStyle w:val="82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25"/>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825"/>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1" w:type="dxa"/>
            <w:vAlign w:val="center"/>
            <w:textDirection w:val="lrTb"/>
            <w:noWrap w:val="false"/>
          </w:tcPr>
          <w:p>
            <w:pPr>
              <w:pStyle w:val="825"/>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2" w:type="dxa"/>
            <w:vAlign w:val="center"/>
            <w:textDirection w:val="lrTb"/>
            <w:noWrap w:val="false"/>
          </w:tcPr>
          <w:p>
            <w:pPr>
              <w:pStyle w:val="825"/>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825"/>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1" w:type="dxa"/>
            <w:vAlign w:val="center"/>
            <w:textDirection w:val="lrTb"/>
            <w:noWrap w:val="false"/>
          </w:tcPr>
          <w:p>
            <w:pPr>
              <w:pStyle w:val="825"/>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2" w:type="dxa"/>
            <w:vAlign w:val="center"/>
            <w:textDirection w:val="lrTb"/>
            <w:noWrap w:val="false"/>
          </w:tcPr>
          <w:p>
            <w:pPr>
              <w:pStyle w:val="825"/>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825"/>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1" w:type="dxa"/>
            <w:vAlign w:val="center"/>
            <w:textDirection w:val="lrTb"/>
            <w:noWrap w:val="false"/>
          </w:tcPr>
          <w:p>
            <w:pPr>
              <w:pStyle w:val="825"/>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825"/>
              <w:jc w:val="center"/>
              <w:widowControl/>
              <w:rPr>
                <w:color w:val="000000"/>
                <w:sz w:val="24"/>
                <w:highlight w:val="none"/>
              </w:rPr>
            </w:pP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825"/>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3621" w:type="dxa"/>
            <w:vAlign w:val="center"/>
            <w:textDirection w:val="lrTb"/>
            <w:noWrap w:val="false"/>
          </w:tcPr>
          <w:p>
            <w:pPr>
              <w:pStyle w:val="825"/>
              <w:jc w:val="left"/>
              <w:widowControl/>
              <w:rPr>
                <w:color w:val="000000"/>
                <w:sz w:val="24"/>
                <w:highlight w:val="none"/>
              </w:rPr>
            </w:pPr>
            <w:r>
              <w:rPr>
                <w:color w:val="000000"/>
                <w:sz w:val="24"/>
                <w:highlight w:val="none"/>
              </w:rPr>
              <w:t xml:space="preserve">投标文件满足招标文件</w:t>
            </w:r>
            <w:r>
              <w:rPr>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r>
      <w:tr>
        <w:trPr>
          <w:trHeight w:val="685"/>
        </w:trPr>
        <w:tc>
          <w:tcPr>
            <w:tcW w:w="402" w:type="dxa"/>
            <w:vAlign w:val="center"/>
            <w:textDirection w:val="lrTb"/>
            <w:noWrap w:val="false"/>
          </w:tcPr>
          <w:p>
            <w:pPr>
              <w:pStyle w:val="825"/>
              <w:jc w:val="center"/>
              <w:widowControl/>
              <w:rPr>
                <w:rFonts w:hint="eastAsia" w:eastAsia="宋体"/>
                <w:color w:val="000000"/>
                <w:sz w:val="24"/>
                <w:highlight w:val="none"/>
                <w:lang w:eastAsia="zh-CN"/>
              </w:rPr>
            </w:pPr>
            <w:r>
              <w:rPr>
                <w:rFonts w:hint="eastAsia"/>
                <w:color w:val="000000"/>
                <w:sz w:val="24"/>
                <w:highlight w:val="none"/>
                <w:lang w:val="en-US" w:eastAsia="zh-CN"/>
              </w:rPr>
              <w:t xml:space="preserve">9</w:t>
            </w:r>
            <w:r>
              <w:rPr>
                <w:rFonts w:hint="eastAsia" w:eastAsia="宋体"/>
                <w:color w:val="000000"/>
                <w:sz w:val="24"/>
                <w:highlight w:val="none"/>
                <w:lang w:eastAsia="zh-CN"/>
              </w:rPr>
            </w:r>
            <w:r/>
          </w:p>
        </w:tc>
        <w:tc>
          <w:tcPr>
            <w:tcW w:w="975" w:type="dxa"/>
            <w:vAlign w:val="center"/>
            <w:textDirection w:val="lrTb"/>
            <w:noWrap w:val="false"/>
          </w:tcPr>
          <w:p>
            <w:pPr>
              <w:pStyle w:val="825"/>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1" w:type="dxa"/>
            <w:vAlign w:val="center"/>
            <w:textDirection w:val="lrTb"/>
            <w:noWrap w:val="false"/>
          </w:tcPr>
          <w:p>
            <w:pPr>
              <w:pStyle w:val="825"/>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2" w:type="dxa"/>
            <w:vAlign w:val="center"/>
            <w:textDirection w:val="lrTb"/>
            <w:noWrap w:val="false"/>
          </w:tcPr>
          <w:p>
            <w:pPr>
              <w:pStyle w:val="825"/>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0</w:t>
            </w:r>
            <w:r>
              <w:rPr>
                <w:rFonts w:hint="eastAsia" w:eastAsia="宋体"/>
                <w:color w:val="000000"/>
                <w:sz w:val="24"/>
                <w:highlight w:val="none"/>
                <w:lang w:eastAsia="zh-CN"/>
              </w:rPr>
            </w:r>
            <w:r/>
          </w:p>
        </w:tc>
        <w:tc>
          <w:tcPr>
            <w:tcW w:w="975" w:type="dxa"/>
            <w:vAlign w:val="center"/>
            <w:textDirection w:val="lrTb"/>
            <w:noWrap w:val="false"/>
          </w:tcPr>
          <w:p>
            <w:pPr>
              <w:pStyle w:val="825"/>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1" w:type="dxa"/>
            <w:vAlign w:val="center"/>
            <w:textDirection w:val="lrTb"/>
            <w:noWrap w:val="false"/>
          </w:tcPr>
          <w:p>
            <w:pPr>
              <w:pStyle w:val="825"/>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25"/>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1</w:t>
            </w:r>
            <w:r>
              <w:rPr>
                <w:rFonts w:hint="eastAsia" w:eastAsia="宋体"/>
                <w:color w:val="000000"/>
                <w:sz w:val="24"/>
                <w:highlight w:val="none"/>
                <w:lang w:eastAsia="zh-CN"/>
              </w:rPr>
            </w:r>
            <w:r/>
          </w:p>
        </w:tc>
        <w:tc>
          <w:tcPr>
            <w:tcW w:w="975" w:type="dxa"/>
            <w:vAlign w:val="center"/>
            <w:textDirection w:val="lrTb"/>
            <w:noWrap w:val="false"/>
          </w:tcPr>
          <w:p>
            <w:pPr>
              <w:pStyle w:val="825"/>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1" w:type="dxa"/>
            <w:vAlign w:val="center"/>
            <w:textDirection w:val="lrTb"/>
            <w:noWrap w:val="false"/>
          </w:tcPr>
          <w:p>
            <w:pPr>
              <w:pStyle w:val="825"/>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402" w:type="dxa"/>
            <w:vAlign w:val="center"/>
            <w:textDirection w:val="lrTb"/>
            <w:noWrap w:val="false"/>
          </w:tcPr>
          <w:p>
            <w:pPr>
              <w:pStyle w:val="825"/>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2</w:t>
            </w:r>
            <w:r>
              <w:rPr>
                <w:rFonts w:hint="eastAsia" w:eastAsia="宋体"/>
                <w:color w:val="000000"/>
                <w:sz w:val="24"/>
                <w:highlight w:val="none"/>
                <w:lang w:eastAsia="zh-CN"/>
              </w:rPr>
            </w:r>
            <w:r/>
          </w:p>
        </w:tc>
        <w:tc>
          <w:tcPr>
            <w:tcW w:w="975" w:type="dxa"/>
            <w:vAlign w:val="center"/>
            <w:textDirection w:val="lrTb"/>
            <w:noWrap w:val="false"/>
          </w:tcPr>
          <w:p>
            <w:pPr>
              <w:pStyle w:val="825"/>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3621" w:type="dxa"/>
            <w:vAlign w:val="center"/>
            <w:textDirection w:val="lrTb"/>
            <w:noWrap w:val="false"/>
          </w:tcPr>
          <w:p>
            <w:pPr>
              <w:pStyle w:val="825"/>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25"/>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975" w:type="dxa"/>
            <w:vAlign w:val="center"/>
            <w:textDirection w:val="lrTb"/>
            <w:noWrap w:val="false"/>
          </w:tcPr>
          <w:p>
            <w:pPr>
              <w:pStyle w:val="825"/>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1" w:type="dxa"/>
            <w:vAlign w:val="center"/>
            <w:textDirection w:val="lrTb"/>
            <w:noWrap w:val="false"/>
          </w:tcPr>
          <w:p>
            <w:pPr>
              <w:pStyle w:val="82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825"/>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975" w:type="dxa"/>
            <w:vAlign w:val="center"/>
            <w:textDirection w:val="lrTb"/>
            <w:noWrap w:val="false"/>
          </w:tcPr>
          <w:p>
            <w:pPr>
              <w:pStyle w:val="825"/>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1" w:type="dxa"/>
            <w:vAlign w:val="center"/>
            <w:textDirection w:val="lrTb"/>
            <w:noWrap w:val="false"/>
          </w:tcPr>
          <w:p>
            <w:pPr>
              <w:pStyle w:val="825"/>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825"/>
        <w:numPr>
          <w:ilvl w:val="0"/>
          <w:numId w:val="13"/>
        </w:numPr>
        <w:spacing w:line="360" w:lineRule="auto"/>
        <w:tabs>
          <w:tab w:val="left" w:pos="900" w:leader="none"/>
          <w:tab w:val="left" w:pos="1080" w:leader="none"/>
          <w:tab w:val="left" w:pos="1589" w:leader="none"/>
        </w:tabs>
        <w:rPr>
          <w:sz w:val="24"/>
          <w:highlight w:val="none"/>
        </w:rPr>
        <w:sectPr>
          <w:headerReference w:type="even" r:id="rId11"/>
          <w:headerReference w:type="first" r:id="rId12"/>
          <w:footerReference w:type="even" r:id="rId18"/>
          <w:footerReference w:type="first" r:id="rId19"/>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pStyle w:val="825"/>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投标文件有关事项的澄清或者说明</w:t>
      </w:r>
      <w:r>
        <w:rPr>
          <w:sz w:val="24"/>
          <w:highlight w:val="none"/>
        </w:rPr>
      </w:r>
      <w:r/>
    </w:p>
    <w:p>
      <w:pPr>
        <w:pStyle w:val="825"/>
        <w:numPr>
          <w:ilvl w:val="1"/>
          <w:numId w:val="12"/>
        </w:numPr>
        <w:ind w:left="1077" w:hanging="720"/>
        <w:spacing w:line="360" w:lineRule="auto"/>
        <w:tabs>
          <w:tab w:val="left" w:pos="1080" w:leader="none"/>
          <w:tab w:val="left" w:pos="1589" w:leader="none"/>
        </w:tabs>
        <w:rPr>
          <w:sz w:val="24"/>
          <w:highlight w:val="none"/>
        </w:rPr>
      </w:pPr>
      <w:r>
        <w:rPr>
          <w:rFonts w:hint="eastAsia"/>
          <w:sz w:val="24"/>
          <w:highlight w:val="none"/>
        </w:rPr>
        <w:t xml:space="preserve">2.1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sz w:val="24"/>
          <w:highlight w:val="none"/>
        </w:rPr>
        <w:t xml:space="preserve">。</w:t>
      </w:r>
      <w:r>
        <w:rPr>
          <w:sz w:val="24"/>
          <w:highlight w:val="none"/>
        </w:rPr>
      </w:r>
      <w:r/>
    </w:p>
    <w:p>
      <w:pPr>
        <w:pStyle w:val="825"/>
        <w:numPr>
          <w:ilvl w:val="1"/>
          <w:numId w:val="12"/>
        </w:numPr>
        <w:ind w:left="1077" w:hanging="720"/>
        <w:spacing w:line="360" w:lineRule="auto"/>
        <w:tabs>
          <w:tab w:val="left" w:pos="1080" w:leader="none"/>
          <w:tab w:val="left" w:pos="1589" w:leader="none"/>
        </w:tabs>
        <w:rPr>
          <w:sz w:val="24"/>
          <w:highlight w:val="none"/>
        </w:rPr>
      </w:pPr>
      <w:r>
        <w:rPr>
          <w:rFonts w:hint="eastAsia"/>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b/>
          <w:bCs/>
          <w:sz w:val="24"/>
          <w:highlight w:val="none"/>
        </w:rPr>
        <w:t xml:space="preserve">无效投标处理</w:t>
      </w:r>
      <w:r>
        <w:rPr>
          <w:sz w:val="24"/>
          <w:highlight w:val="none"/>
        </w:rPr>
        <w:t xml:space="preserve">。</w:t>
      </w:r>
      <w:r>
        <w:rPr>
          <w:sz w:val="24"/>
          <w:highlight w:val="none"/>
        </w:rPr>
      </w:r>
      <w:r/>
    </w:p>
    <w:p>
      <w:pPr>
        <w:pStyle w:val="825"/>
        <w:numPr>
          <w:ilvl w:val="1"/>
          <w:numId w:val="12"/>
        </w:numPr>
        <w:ind w:left="1077" w:hanging="720"/>
        <w:spacing w:line="360" w:lineRule="auto"/>
        <w:tabs>
          <w:tab w:val="left" w:pos="1080" w:leader="none"/>
          <w:tab w:val="left" w:pos="1589" w:leader="none"/>
        </w:tabs>
        <w:rPr>
          <w:sz w:val="24"/>
          <w:highlight w:val="none"/>
        </w:rPr>
      </w:pPr>
      <w:r>
        <w:rPr>
          <w:rFonts w:hint="eastAsia"/>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b/>
          <w:sz w:val="24"/>
          <w:highlight w:val="none"/>
        </w:rPr>
        <w:t xml:space="preserve">投标无效</w:t>
      </w:r>
      <w:r>
        <w:rPr>
          <w:sz w:val="24"/>
          <w:highlight w:val="none"/>
        </w:rPr>
        <w:t xml:space="preserve">。</w:t>
      </w:r>
      <w:r>
        <w:rPr>
          <w:sz w:val="24"/>
          <w:highlight w:val="none"/>
        </w:rPr>
      </w:r>
      <w:r/>
    </w:p>
    <w:p>
      <w:pPr>
        <w:pStyle w:val="82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投标文件报价出现前后不一致的，按照下列规定修正：</w:t>
      </w:r>
      <w:r>
        <w:rPr>
          <w:sz w:val="24"/>
          <w:highlight w:val="none"/>
        </w:rPr>
      </w:r>
      <w:r/>
    </w:p>
    <w:p>
      <w:pPr>
        <w:pStyle w:val="82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招标文件对于报价修正是否另有规定：</w:t>
      </w:r>
      <w:r>
        <w:rPr>
          <w:sz w:val="24"/>
          <w:highlight w:val="none"/>
        </w:rPr>
      </w:r>
      <w:r/>
    </w:p>
    <w:p>
      <w:pPr>
        <w:pStyle w:val="825"/>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rPr>
          <w:sz w:val="24"/>
          <w:highlight w:val="none"/>
          <w:u w:val="single"/>
        </w:rPr>
      </w:r>
      <w:r/>
    </w:p>
    <w:p>
      <w:pPr>
        <w:pStyle w:val="825"/>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□无，按下述2.4.2-2.4.7项规定修正。</w:t>
      </w:r>
      <w:r>
        <w:rPr>
          <w:sz w:val="24"/>
          <w:highlight w:val="none"/>
        </w:rPr>
      </w:r>
      <w:r/>
    </w:p>
    <w:p>
      <w:pPr>
        <w:pStyle w:val="825"/>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825"/>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825"/>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825"/>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825"/>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82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rPr>
          <w:sz w:val="24"/>
          <w:highlight w:val="none"/>
        </w:rPr>
      </w:r>
      <w:r/>
    </w:p>
    <w:p>
      <w:pPr>
        <w:pStyle w:val="82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rPr>
          <w:sz w:val="24"/>
          <w:highlight w:val="none"/>
        </w:rPr>
      </w:r>
      <w:r/>
    </w:p>
    <w:p>
      <w:pPr>
        <w:pStyle w:val="82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rPr>
          <w:sz w:val="24"/>
          <w:highlight w:val="none"/>
        </w:rPr>
      </w:r>
      <w:r/>
    </w:p>
    <w:p>
      <w:pPr>
        <w:pStyle w:val="82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rPr>
          <w:sz w:val="24"/>
          <w:highlight w:val="none"/>
        </w:rPr>
      </w:r>
      <w:r/>
    </w:p>
    <w:p>
      <w:pPr>
        <w:pStyle w:val="82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82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82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sz w:val="24"/>
          <w:highlight w:val="none"/>
        </w:rPr>
      </w:r>
      <w:r/>
    </w:p>
    <w:p>
      <w:pPr>
        <w:pStyle w:val="82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82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rPr>
          <w:sz w:val="24"/>
          <w:highlight w:val="none"/>
        </w:rPr>
      </w:r>
      <w:r/>
    </w:p>
    <w:p>
      <w:pPr>
        <w:pStyle w:val="825"/>
        <w:numPr>
          <w:ilvl w:val="2"/>
          <w:numId w:val="12"/>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rPr>
          <w:sz w:val="24"/>
          <w:highlight w:val="none"/>
        </w:rPr>
      </w:r>
      <w:r/>
    </w:p>
    <w:p>
      <w:pPr>
        <w:pStyle w:val="825"/>
        <w:numPr>
          <w:ilvl w:val="1"/>
          <w:numId w:val="12"/>
        </w:numPr>
        <w:ind w:left="1077" w:hanging="720"/>
        <w:spacing w:line="360" w:lineRule="auto"/>
        <w:tabs>
          <w:tab w:val="left" w:pos="1080" w:leader="none"/>
          <w:tab w:val="left" w:pos="1589" w:leader="none"/>
        </w:tabs>
        <w:rPr>
          <w:rFonts w:hint="eastAsia" w:ascii="Times New Roman" w:hAnsi="Times New Roman" w:eastAsia="宋体" w:cs="Times New Roman"/>
          <w:sz w:val="24"/>
          <w:highlight w:val="none"/>
        </w:rPr>
      </w:pPr>
      <w:r>
        <w:rPr>
          <w:sz w:val="24"/>
          <w:highlight w:val="none"/>
        </w:rPr>
        <w:t xml:space="preserve">若投标人同时属于小型或微型企业、监狱企业、残疾人福利性单位中的两种及以上，将不重复享受小微企业价格扣减的优惠政策。</w:t>
      </w:r>
      <w:r>
        <w:rPr>
          <w:rFonts w:hint="eastAsia" w:ascii="Times New Roman" w:hAnsi="Times New Roman" w:eastAsia="宋体" w:cs="Times New Roman"/>
          <w:sz w:val="24"/>
          <w:highlight w:val="none"/>
        </w:rPr>
        <w:t xml:space="preserve">评审过程中出现下列情形之一的，评审委员会应当启动异常低价投标（响应）审查程序：</w:t>
      </w:r>
      <w:r>
        <w:rPr>
          <w:rFonts w:hint="eastAsia" w:ascii="Times New Roman" w:hAnsi="Times New Roman" w:eastAsia="宋体" w:cs="Times New Roman"/>
          <w:sz w:val="24"/>
          <w:highlight w:val="none"/>
        </w:rPr>
      </w:r>
      <w:r/>
    </w:p>
    <w:p>
      <w:pPr>
        <w:pStyle w:val="825"/>
        <w:numPr>
          <w:ilvl w:val="0"/>
          <w:numId w:val="0"/>
        </w:numPr>
        <w:ind w:left="1135" w:firstLine="48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sz w:val="24"/>
          <w:highlight w:val="none"/>
        </w:rPr>
      </w:r>
      <w:r/>
    </w:p>
    <w:p>
      <w:pPr>
        <w:pStyle w:val="825"/>
        <w:numPr>
          <w:ilvl w:val="0"/>
          <w:numId w:val="0"/>
        </w:numPr>
        <w:ind w:left="1135" w:firstLine="48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sz w:val="24"/>
          <w:highlight w:val="none"/>
        </w:rPr>
      </w:r>
      <w:r/>
    </w:p>
    <w:p>
      <w:pPr>
        <w:pStyle w:val="825"/>
        <w:numPr>
          <w:ilvl w:val="0"/>
          <w:numId w:val="0"/>
        </w:numPr>
        <w:ind w:left="1135" w:firstLine="48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3.投标（响应）报价低于采购项目最高限价45%的，即投标（响应）报价&lt;采购项目最高限价×45%；</w:t>
      </w:r>
      <w:r>
        <w:rPr>
          <w:rFonts w:hint="eastAsia" w:ascii="宋体" w:hAnsi="宋体" w:eastAsia="宋体" w:cs="宋体"/>
          <w:sz w:val="24"/>
          <w:highlight w:val="none"/>
        </w:rPr>
      </w:r>
      <w:r/>
    </w:p>
    <w:p>
      <w:pPr>
        <w:pStyle w:val="825"/>
        <w:numPr>
          <w:ilvl w:val="0"/>
          <w:numId w:val="0"/>
        </w:numPr>
        <w:ind w:left="1135" w:firstLine="48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4.评审委员会基于专业判断，认为供应商报价过低，有可能影响产品质量或者不能诚信履约的其他情形。</w:t>
      </w:r>
      <w:r>
        <w:rPr>
          <w:rFonts w:hint="eastAsia" w:ascii="宋体" w:hAnsi="宋体" w:eastAsia="宋体" w:cs="宋体"/>
          <w:sz w:val="24"/>
          <w:highlight w:val="none"/>
        </w:rPr>
      </w:r>
      <w:r/>
    </w:p>
    <w:p>
      <w:pPr>
        <w:pStyle w:val="825"/>
        <w:numPr>
          <w:ilvl w:val="0"/>
          <w:numId w:val="0"/>
        </w:numPr>
        <w:ind w:left="1135"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采购人可以结合具体项目实际情况，提高上述第1项至第3项中启动异常低价投标（响应）审查的数值标准，但是最高不得超过65%。</w:t>
      </w:r>
      <w:r>
        <w:rPr>
          <w:rFonts w:hint="eastAsia"/>
          <w:sz w:val="24"/>
          <w:highlight w:val="none"/>
        </w:rPr>
      </w:r>
      <w:r/>
    </w:p>
    <w:p>
      <w:pPr>
        <w:pStyle w:val="825"/>
        <w:numPr>
          <w:ilvl w:val="0"/>
          <w:numId w:val="0"/>
        </w:numPr>
        <w:ind w:left="1135"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相关法律法规对供应商报价有规定的，从其规定。</w:t>
      </w:r>
      <w:r>
        <w:rPr>
          <w:rFonts w:hint="eastAsia"/>
          <w:sz w:val="24"/>
          <w:highlight w:val="none"/>
        </w:rPr>
      </w:r>
      <w:r/>
    </w:p>
    <w:p>
      <w:pPr>
        <w:pStyle w:val="825"/>
        <w:numPr>
          <w:ilvl w:val="0"/>
          <w:numId w:val="0"/>
        </w:numPr>
        <w:ind w:left="1135"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sz w:val="24"/>
          <w:highlight w:val="none"/>
        </w:rPr>
      </w:r>
      <w:r/>
    </w:p>
    <w:p>
      <w:pPr>
        <w:pStyle w:val="825"/>
        <w:numPr>
          <w:ilvl w:val="0"/>
          <w:numId w:val="0"/>
        </w:numPr>
        <w:ind w:left="1135"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sz w:val="24"/>
          <w:highlight w:val="none"/>
        </w:rPr>
      </w:r>
      <w:r/>
    </w:p>
    <w:p>
      <w:pPr>
        <w:pStyle w:val="825"/>
        <w:numPr>
          <w:ilvl w:val="0"/>
          <w:numId w:val="0"/>
        </w:numPr>
        <w:ind w:left="1135"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sz w:val="24"/>
          <w:highlight w:val="none"/>
        </w:rPr>
      </w:r>
      <w:r/>
    </w:p>
    <w:p>
      <w:pPr>
        <w:pStyle w:val="825"/>
        <w:numPr>
          <w:ilvl w:val="0"/>
          <w:numId w:val="0"/>
        </w:numPr>
        <w:ind w:left="1135"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sz w:val="24"/>
          <w:highlight w:val="none"/>
        </w:rPr>
      </w:r>
      <w:r/>
    </w:p>
    <w:p>
      <w:pPr>
        <w:pStyle w:val="825"/>
        <w:numPr>
          <w:ilvl w:val="0"/>
          <w:numId w:val="0"/>
        </w:numPr>
        <w:ind w:left="1135" w:firstLine="480"/>
        <w:spacing w:line="360" w:lineRule="auto"/>
        <w:tabs>
          <w:tab w:val="left" w:pos="1080" w:leader="none"/>
          <w:tab w:val="left" w:pos="1589" w:leader="none"/>
          <w:tab w:val="left" w:pos="2014" w:leader="none"/>
        </w:tabs>
        <w:rPr>
          <w:rFonts w:hint="eastAsia" w:ascii="Times New Roman" w:hAnsi="Times New Roman" w:eastAsia="宋体" w:cs="Times New Roman"/>
          <w:b w:val="0"/>
          <w:bCs w:val="0"/>
          <w:sz w:val="24"/>
          <w:highlight w:val="none"/>
          <w:lang w:val="en-US" w:eastAsia="zh-CN"/>
        </w:rPr>
      </w:pPr>
      <w:r>
        <w:rPr>
          <w:rFonts w:hint="eastAsia" w:ascii="Times New Roman" w:hAnsi="Times New Roman" w:eastAsia="宋体" w:cs="Times New Roman"/>
          <w:b w:val="0"/>
          <w:bCs w:val="0"/>
          <w:sz w:val="24"/>
          <w:highlight w:val="none"/>
          <w:lang w:val="en-US" w:eastAsia="zh-CN"/>
        </w:rPr>
        <w:t xml:space="preserve">具体按照苏财购〔2026〕36号文件执行。</w:t>
      </w:r>
      <w:r>
        <w:rPr>
          <w:rFonts w:hint="eastAsia" w:ascii="Times New Roman" w:hAnsi="Times New Roman" w:eastAsia="宋体" w:cs="Times New Roman"/>
          <w:b w:val="0"/>
          <w:bCs w:val="0"/>
          <w:sz w:val="24"/>
          <w:highlight w:val="none"/>
          <w:lang w:val="en-US" w:eastAsia="zh-CN"/>
        </w:rPr>
      </w:r>
      <w:r/>
    </w:p>
    <w:p>
      <w:pPr>
        <w:pStyle w:val="825"/>
        <w:numPr>
          <w:ilvl w:val="1"/>
          <w:numId w:val="12"/>
        </w:numPr>
        <w:ind w:left="1077" w:hanging="720"/>
        <w:spacing w:line="360" w:lineRule="auto"/>
        <w:tabs>
          <w:tab w:val="left" w:pos="1080" w:leader="none"/>
          <w:tab w:val="left" w:pos="1589" w:leader="none"/>
        </w:tabs>
        <w:rPr>
          <w:rFonts w:hint="eastAsia" w:ascii="Times New Roman" w:hAnsi="Times New Roman" w:eastAsia="宋体" w:cs="Times New Roman"/>
          <w:b w:val="0"/>
          <w:bCs w:val="0"/>
          <w:sz w:val="24"/>
          <w:highlight w:val="none"/>
          <w:lang w:val="en-US" w:eastAsia="zh-CN"/>
        </w:rPr>
      </w:pPr>
      <w:r>
        <w:rPr>
          <w:rFonts w:hint="eastAsia" w:ascii="Times New Roman" w:hAnsi="Times New Roman" w:eastAsia="宋体" w:cs="Times New Roman"/>
          <w:b w:val="0"/>
          <w:bCs w:val="0"/>
          <w:sz w:val="24"/>
          <w:highlight w:val="none"/>
          <w:lang w:val="en-US" w:eastAsia="zh-CN"/>
        </w:rPr>
        <w:t xml:space="preserve">采购本国产品的支持政策（本项目不适用）</w:t>
      </w:r>
      <w:r>
        <w:rPr>
          <w:rFonts w:hint="eastAsia" w:ascii="Times New Roman" w:hAnsi="Times New Roman" w:eastAsia="宋体" w:cs="Times New Roman"/>
          <w:b w:val="0"/>
          <w:bCs w:val="0"/>
          <w:sz w:val="24"/>
          <w:highlight w:val="none"/>
          <w:lang w:val="en-US" w:eastAsia="zh-CN"/>
        </w:rPr>
      </w:r>
      <w:r/>
    </w:p>
    <w:p>
      <w:pPr>
        <w:pStyle w:val="82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sz w:val="24"/>
          <w:highlight w:val="none"/>
          <w:lang w:val="en-US" w:eastAsia="zh-CN"/>
        </w:rPr>
      </w:r>
      <w:r/>
    </w:p>
    <w:p>
      <w:pPr>
        <w:pStyle w:val="82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当采购项目或者采购包中含有多种产品，投标人为该采购项目或者采购包提供的符合本国产品标准的产品成本之和占该供应商提供的全部产品成本之和的比例达到80%以上时（投标人需在“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Times New Roman" w:hAnsi="Times New Roman" w:eastAsia="宋体" w:cs="Times New Roman"/>
          <w:sz w:val="24"/>
          <w:highlight w:val="none"/>
          <w:lang w:val="en-US" w:eastAsia="zh-CN"/>
        </w:rPr>
      </w:r>
      <w:r/>
    </w:p>
    <w:p>
      <w:pPr>
        <w:pStyle w:val="82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投标人需按照招标文件的要求提供《关于符合本国产品标准的声明函》（以下简称《声明函》），如不提供将不享受本国产品价格评审优惠。</w:t>
      </w:r>
      <w:r>
        <w:rPr>
          <w:rFonts w:hint="eastAsia" w:ascii="Times New Roman" w:hAnsi="Times New Roman" w:eastAsia="宋体" w:cs="Times New Roman"/>
          <w:sz w:val="24"/>
          <w:highlight w:val="none"/>
          <w:lang w:val="en-US" w:eastAsia="zh-CN"/>
        </w:rPr>
      </w:r>
      <w:r/>
    </w:p>
    <w:p>
      <w:pPr>
        <w:pStyle w:val="82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投标人需在《声明函》中逐一、准确填写产品名称、厂名、生产厂址三项信息（《声明函》中用删除线划除的地方无需填写），三项信息中任意一项未填写的视为该项产品不符合本国产品标准，不享受本国产品价格评审优惠。</w:t>
      </w:r>
      <w:r>
        <w:rPr>
          <w:rFonts w:hint="eastAsia" w:ascii="Times New Roman" w:hAnsi="Times New Roman" w:eastAsia="宋体" w:cs="Times New Roman"/>
          <w:sz w:val="24"/>
          <w:highlight w:val="none"/>
          <w:lang w:val="en-US" w:eastAsia="zh-CN"/>
        </w:rPr>
      </w:r>
      <w:r/>
    </w:p>
    <w:p>
      <w:pPr>
        <w:pStyle w:val="82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Times New Roman"/>
          <w:sz w:val="24"/>
          <w:highlight w:val="none"/>
          <w:lang w:val="en-US" w:eastAsia="zh-CN"/>
        </w:rPr>
      </w:r>
      <w:r/>
    </w:p>
    <w:p>
      <w:pPr>
        <w:pStyle w:val="82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Times New Roman" w:hAnsi="Times New Roman" w:eastAsia="宋体" w:cs="Times New Roman"/>
          <w:sz w:val="24"/>
          <w:highlight w:val="none"/>
          <w:lang w:val="en-US" w:eastAsia="zh-CN"/>
        </w:rPr>
      </w:r>
      <w:r/>
    </w:p>
    <w:p>
      <w:pPr>
        <w:pStyle w:val="825"/>
        <w:numPr>
          <w:ilvl w:val="0"/>
          <w:numId w:val="0"/>
        </w:numPr>
        <w:ind w:left="1135" w:firstLine="480"/>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Times New Roman" w:hAnsi="Times New Roman" w:eastAsia="宋体" w:cs="Times New Roman"/>
          <w:sz w:val="24"/>
          <w:highlight w:val="none"/>
        </w:rPr>
      </w:r>
      <w:r/>
    </w:p>
    <w:p>
      <w:pPr>
        <w:pStyle w:val="825"/>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投标文件的比较和评价</w:t>
      </w:r>
      <w:bookmarkEnd w:id="757"/>
      <w:r/>
      <w:bookmarkEnd w:id="758"/>
      <w:r>
        <w:rPr>
          <w:sz w:val="24"/>
          <w:highlight w:val="none"/>
        </w:rPr>
      </w:r>
      <w:r/>
    </w:p>
    <w:p>
      <w:pPr>
        <w:pStyle w:val="82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sz w:val="24"/>
          <w:highlight w:val="none"/>
        </w:rPr>
      </w:r>
      <w:r/>
    </w:p>
    <w:p>
      <w:pPr>
        <w:pStyle w:val="82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评标方法和评标标准</w:t>
      </w:r>
      <w:r>
        <w:rPr>
          <w:sz w:val="24"/>
          <w:highlight w:val="none"/>
        </w:rPr>
      </w:r>
      <w:r/>
    </w:p>
    <w:p>
      <w:pPr>
        <w:pStyle w:val="82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本项目采用的评标方法为：</w:t>
      </w:r>
      <w:r>
        <w:rPr>
          <w:sz w:val="24"/>
          <w:highlight w:val="none"/>
        </w:rPr>
      </w:r>
      <w:r/>
    </w:p>
    <w:p>
      <w:pPr>
        <w:pStyle w:val="825"/>
        <w:ind w:left="1985"/>
        <w:spacing w:line="360" w:lineRule="auto"/>
        <w:tabs>
          <w:tab w:val="left" w:pos="900" w:leader="none"/>
          <w:tab w:val="left" w:pos="1589" w:leader="none"/>
          <w:tab w:val="left" w:pos="1701" w:leader="none"/>
        </w:tabs>
        <w:rPr>
          <w:sz w:val="24"/>
          <w:highlight w:val="none"/>
        </w:rPr>
      </w:pPr>
      <w:r>
        <w:rPr>
          <w:rFonts w:hint="eastAsia" w:ascii="宋体" w:hAnsi="宋体" w:cs="宋体"/>
          <w:sz w:val="24"/>
          <w:highlight w:val="none"/>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rPr>
          <w:sz w:val="24"/>
          <w:highlight w:val="none"/>
        </w:rPr>
      </w:r>
      <w:r/>
    </w:p>
    <w:p>
      <w:pPr>
        <w:pStyle w:val="825"/>
        <w:ind w:left="1985"/>
        <w:spacing w:line="360" w:lineRule="auto"/>
        <w:tabs>
          <w:tab w:val="left" w:pos="900" w:leader="none"/>
          <w:tab w:val="left" w:pos="1589" w:leader="none"/>
          <w:tab w:val="left" w:pos="1701" w:leader="none"/>
        </w:tabs>
        <w:rPr>
          <w:sz w:val="24"/>
          <w:highlight w:val="none"/>
        </w:rPr>
      </w:pPr>
      <w:r>
        <w:rPr>
          <w:rFonts w:hint="eastAsia"/>
          <w:sz w:val="24"/>
          <w:highlight w:val="none"/>
          <w:lang w:eastAsia="zh-CN"/>
        </w:rPr>
        <w:t xml:space="preserve">□</w:t>
      </w:r>
      <w:r>
        <w:rPr>
          <w:sz w:val="24"/>
          <w:highlight w:val="none"/>
        </w:rPr>
        <w:t xml:space="preserve">最低评标价法，指投标文件满足招标文件全部实质性要求，且投标报价最低的投标人为中标候选人的评标方法。</w:t>
      </w:r>
      <w:r>
        <w:rPr>
          <w:sz w:val="24"/>
          <w:highlight w:val="none"/>
        </w:rPr>
      </w:r>
      <w:r/>
    </w:p>
    <w:p>
      <w:pPr>
        <w:pStyle w:val="82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rPr>
          <w:sz w:val="24"/>
          <w:highlight w:val="none"/>
        </w:rPr>
      </w:r>
      <w:r/>
    </w:p>
    <w:p>
      <w:pPr>
        <w:pStyle w:val="825"/>
        <w:ind w:left="2035"/>
        <w:spacing w:line="360" w:lineRule="auto"/>
        <w:tabs>
          <w:tab w:val="left" w:pos="1080" w:leader="none"/>
          <w:tab w:val="left" w:pos="1589" w:leader="none"/>
          <w:tab w:val="left" w:pos="2035" w:leader="none"/>
        </w:tabs>
        <w:rPr>
          <w:sz w:val="24"/>
          <w:highlight w:val="none"/>
        </w:rPr>
      </w:pPr>
      <w:r>
        <w:rPr>
          <w:sz w:val="24"/>
          <w:highlight w:val="none"/>
        </w:rPr>
        <w:t xml:space="preserve">□随机抽取</w:t>
      </w:r>
      <w:r>
        <w:rPr>
          <w:sz w:val="24"/>
          <w:highlight w:val="none"/>
        </w:rPr>
      </w:r>
      <w:r/>
    </w:p>
    <w:p>
      <w:pPr>
        <w:pStyle w:val="825"/>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□其他方式，具体要求：_____</w:t>
      </w:r>
      <w:r>
        <w:rPr>
          <w:sz w:val="24"/>
          <w:highlight w:val="none"/>
          <w:u w:val="single"/>
        </w:rPr>
      </w:r>
      <w:r/>
    </w:p>
    <w:p>
      <w:pPr>
        <w:pStyle w:val="82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w:t>
      </w:r>
      <w:r>
        <w:rPr>
          <w:sz w:val="24"/>
          <w:highlight w:val="none"/>
        </w:rPr>
      </w:r>
      <w:r/>
    </w:p>
    <w:p>
      <w:pPr>
        <w:pStyle w:val="82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关于无线局域网认证产品政府采购清单中的产品，优先采购的具体规定（如涉及）_____。</w:t>
      </w:r>
      <w:r>
        <w:rPr>
          <w:sz w:val="24"/>
          <w:highlight w:val="none"/>
        </w:rPr>
      </w:r>
      <w:r/>
    </w:p>
    <w:p>
      <w:pPr>
        <w:pStyle w:val="825"/>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确定</w:t>
      </w:r>
      <w:bookmarkStart w:id="774" w:name="_Toc520356170"/>
      <w:r/>
      <w:bookmarkStart w:id="775" w:name="_Toc226965736"/>
      <w:r/>
      <w:bookmarkStart w:id="776" w:name="_Toc226309790"/>
      <w:r/>
      <w:bookmarkStart w:id="777" w:name="_Toc195842911"/>
      <w:r/>
      <w:bookmarkStart w:id="778" w:name="_Toc150509297"/>
      <w:r/>
      <w:bookmarkStart w:id="779" w:name="_Toc127151546"/>
      <w:r/>
      <w:bookmarkStart w:id="780" w:name="_Toc142311048"/>
      <w:r/>
      <w:bookmarkStart w:id="781" w:name="_Toc151193934"/>
      <w:r/>
      <w:bookmarkStart w:id="782" w:name="_Toc265228384"/>
      <w:r/>
      <w:bookmarkStart w:id="783" w:name="_Toc164351640"/>
      <w:r/>
      <w:bookmarkStart w:id="784" w:name="_Toc150480784"/>
      <w:r/>
      <w:bookmarkStart w:id="785" w:name="_Toc305158814"/>
      <w:r/>
      <w:bookmarkStart w:id="786" w:name="_Toc226965819"/>
      <w:r/>
      <w:bookmarkStart w:id="787" w:name="_Toc151193644"/>
      <w:r/>
      <w:bookmarkStart w:id="788" w:name="_Ref467307010"/>
      <w:r/>
      <w:bookmarkStart w:id="789" w:name="_Toc150774646"/>
      <w:r/>
      <w:bookmarkStart w:id="790" w:name="_Toc151190173"/>
      <w:r/>
      <w:bookmarkStart w:id="791" w:name="_Toc226337242"/>
      <w:r/>
      <w:bookmarkStart w:id="792" w:name="_Toc164608815"/>
      <w:r/>
      <w:bookmarkStart w:id="793" w:name="_Toc164229387"/>
      <w:r/>
      <w:bookmarkStart w:id="794" w:name="_Toc149720839"/>
      <w:r/>
      <w:bookmarkStart w:id="795" w:name="_Toc305158888"/>
      <w:r/>
      <w:bookmarkStart w:id="796" w:name="_Toc151193788"/>
      <w:r/>
      <w:bookmarkStart w:id="797" w:name="_Toc151193860"/>
      <w:r/>
      <w:bookmarkStart w:id="798" w:name="_Toc164229241"/>
      <w:r/>
      <w:bookmarkStart w:id="799" w:name="_Toc127151747"/>
      <w:r/>
      <w:bookmarkStart w:id="800" w:name="_Toc150774751"/>
      <w:r/>
      <w:bookmarkStart w:id="801" w:name="_Toc151193716"/>
      <w:r/>
      <w:bookmarkStart w:id="802" w:name="_Toc127161460"/>
      <w:r/>
      <w:bookmarkStart w:id="803" w:name="_Toc264969236"/>
      <w:r/>
      <w:bookmarkStart w:id="804" w:name="_Toc164608660"/>
      <w:r>
        <w:rPr>
          <w:sz w:val="24"/>
          <w:highlight w:val="none"/>
        </w:rPr>
        <w:t xml:space="preserve">中标候选人名单</w:t>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rPr>
          <w:sz w:val="24"/>
          <w:highlight w:val="none"/>
        </w:rPr>
      </w:r>
      <w:r/>
    </w:p>
    <w:p>
      <w:pPr>
        <w:pStyle w:val="82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highlight w:val="none"/>
        </w:rPr>
      </w:r>
      <w:r/>
    </w:p>
    <w:p>
      <w:pPr>
        <w:pStyle w:val="864"/>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□随机抽取</w:t>
      </w:r>
      <w:r>
        <w:rPr>
          <w:rFonts w:ascii="Times New Roman" w:hAnsi="Times New Roman"/>
          <w:sz w:val="24"/>
          <w:szCs w:val="24"/>
          <w:highlight w:val="none"/>
        </w:rPr>
      </w:r>
      <w:r/>
    </w:p>
    <w:p>
      <w:pPr>
        <w:pStyle w:val="864"/>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□其他方式，具体要求：_____</w:t>
      </w:r>
      <w:r>
        <w:rPr>
          <w:rFonts w:ascii="Times New Roman" w:hAnsi="Times New Roman"/>
          <w:sz w:val="24"/>
          <w:szCs w:val="24"/>
          <w:highlight w:val="none"/>
        </w:rPr>
      </w:r>
      <w:r/>
    </w:p>
    <w:p>
      <w:pPr>
        <w:pStyle w:val="82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highlight w:val="none"/>
        </w:rPr>
      </w:r>
      <w:r/>
    </w:p>
    <w:p>
      <w:pPr>
        <w:pStyle w:val="82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highlight w:val="none"/>
        </w:rPr>
      </w:r>
      <w:r/>
    </w:p>
    <w:p>
      <w:pPr>
        <w:pStyle w:val="82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rPr>
          <w:sz w:val="24"/>
          <w:highlight w:val="none"/>
        </w:rPr>
      </w:r>
      <w:r/>
    </w:p>
    <w:p>
      <w:pPr>
        <w:pStyle w:val="82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rPr>
          <w:sz w:val="24"/>
          <w:highlight w:val="none"/>
        </w:rPr>
      </w:r>
      <w:r/>
    </w:p>
    <w:p>
      <w:pPr>
        <w:pStyle w:val="825"/>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82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rPr>
          <w:sz w:val="24"/>
          <w:highlight w:val="none"/>
        </w:rPr>
      </w:r>
      <w:r/>
    </w:p>
    <w:p>
      <w:pPr>
        <w:pStyle w:val="825"/>
        <w:jc w:val="left"/>
        <w:widowControl/>
        <w:rPr>
          <w:b/>
          <w:sz w:val="24"/>
          <w:highlight w:val="none"/>
        </w:rPr>
      </w:pPr>
      <w:r>
        <w:rPr>
          <w:b/>
          <w:sz w:val="24"/>
          <w:highlight w:val="none"/>
        </w:rPr>
        <w:br w:type="page" w:clear="all"/>
      </w:r>
      <w:r>
        <w:rPr>
          <w:b/>
          <w:sz w:val="24"/>
          <w:highlight w:val="none"/>
        </w:rPr>
      </w:r>
      <w:r/>
    </w:p>
    <w:p>
      <w:pPr>
        <w:pStyle w:val="825"/>
        <w:jc w:val="center"/>
        <w:spacing w:line="360" w:lineRule="auto"/>
        <w:tabs>
          <w:tab w:val="left" w:pos="360" w:leader="none"/>
          <w:tab w:val="left" w:pos="900" w:leader="none"/>
        </w:tabs>
        <w:rPr>
          <w:b/>
          <w:highlight w:val="none"/>
        </w:rPr>
        <w:outlineLvl w:val="1"/>
      </w:pPr>
      <w:r>
        <w:rPr>
          <w:b/>
          <w:sz w:val="24"/>
          <w:highlight w:val="none"/>
        </w:rPr>
        <w:t xml:space="preserve">二、评标标准</w:t>
      </w:r>
      <w:r>
        <w:rPr>
          <w:b/>
          <w:highlight w:val="none"/>
        </w:rPr>
      </w:r>
      <w:r/>
    </w:p>
    <w:p>
      <w:pPr>
        <w:pStyle w:val="825"/>
        <w:spacing w:line="360" w:lineRule="auto"/>
        <w:tabs>
          <w:tab w:val="left" w:pos="360" w:leader="none"/>
          <w:tab w:val="left" w:pos="900" w:leader="none"/>
          <w:tab w:val="left" w:pos="1080" w:leader="none"/>
          <w:tab w:val="left" w:pos="2014" w:leader="none"/>
        </w:tabs>
        <w:rPr>
          <w:sz w:val="24"/>
          <w:highlight w:val="none"/>
        </w:rPr>
      </w:pPr>
      <w:r>
        <w:rPr>
          <w:sz w:val="24"/>
          <w:highlight w:val="none"/>
        </w:rPr>
      </w:r>
      <w:r/>
    </w:p>
    <w:tbl>
      <w:tblPr>
        <w:tblW w:w="98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260"/>
        <w:gridCol w:w="795"/>
        <w:gridCol w:w="5036"/>
        <w:gridCol w:w="1900"/>
      </w:tblGrid>
      <w:tr>
        <w:trPr>
          <w:trHeight w:val="452"/>
        </w:trPr>
        <w:tc>
          <w:tcPr>
            <w:tcW w:w="846" w:type="dxa"/>
            <w:vAlign w:val="center"/>
            <w:textDirection w:val="lrTb"/>
            <w:noWrap w:val="false"/>
          </w:tcPr>
          <w:p>
            <w:pPr>
              <w:pStyle w:val="825"/>
              <w:jc w:val="center"/>
              <w:rPr>
                <w:rFonts w:hint="eastAsia" w:ascii="宋体" w:hAnsi="宋体" w:cs="宋体"/>
                <w:b/>
                <w:color w:val="000000"/>
                <w:szCs w:val="21"/>
                <w:highlight w:val="none"/>
              </w:rPr>
            </w:pPr>
            <w:r>
              <w:rPr>
                <w:rFonts w:hint="eastAsia"/>
                <w:b/>
                <w:highlight w:val="none"/>
              </w:rPr>
              <w:t xml:space="preserve">序号</w:t>
            </w:r>
            <w:r>
              <w:rPr>
                <w:rFonts w:hint="eastAsia" w:ascii="宋体" w:hAnsi="宋体" w:cs="宋体"/>
                <w:b/>
                <w:color w:val="000000"/>
                <w:szCs w:val="21"/>
                <w:highlight w:val="none"/>
              </w:rPr>
            </w:r>
            <w:r/>
          </w:p>
        </w:tc>
        <w:tc>
          <w:tcPr>
            <w:tcW w:w="1260" w:type="dxa"/>
            <w:vAlign w:val="center"/>
            <w:textDirection w:val="lrTb"/>
            <w:noWrap w:val="false"/>
          </w:tcPr>
          <w:p>
            <w:pPr>
              <w:pStyle w:val="825"/>
              <w:jc w:val="center"/>
              <w:rPr>
                <w:rFonts w:hint="eastAsia" w:ascii="宋体" w:hAnsi="宋体" w:cs="宋体"/>
                <w:b/>
                <w:color w:val="000000"/>
                <w:szCs w:val="21"/>
                <w:highlight w:val="none"/>
              </w:rPr>
            </w:pPr>
            <w:r>
              <w:rPr>
                <w:rFonts w:hint="eastAsia"/>
                <w:b/>
                <w:highlight w:val="none"/>
              </w:rPr>
              <w:t xml:space="preserve">评分因素</w:t>
            </w:r>
            <w:r>
              <w:rPr>
                <w:rFonts w:hint="eastAsia" w:ascii="宋体" w:hAnsi="宋体" w:cs="宋体"/>
                <w:b/>
                <w:color w:val="000000"/>
                <w:szCs w:val="21"/>
                <w:highlight w:val="none"/>
              </w:rPr>
            </w:r>
            <w:r/>
          </w:p>
        </w:tc>
        <w:tc>
          <w:tcPr>
            <w:tcW w:w="795" w:type="dxa"/>
            <w:vAlign w:val="center"/>
            <w:textDirection w:val="lrTb"/>
            <w:noWrap w:val="false"/>
          </w:tcPr>
          <w:p>
            <w:pPr>
              <w:pStyle w:val="825"/>
              <w:jc w:val="center"/>
              <w:rPr>
                <w:rFonts w:hint="eastAsia" w:ascii="宋体" w:hAnsi="宋体" w:cs="宋体"/>
                <w:b/>
                <w:color w:val="000000"/>
                <w:szCs w:val="21"/>
                <w:highlight w:val="none"/>
              </w:rPr>
            </w:pPr>
            <w:r>
              <w:rPr>
                <w:rFonts w:hint="eastAsia"/>
                <w:b/>
                <w:highlight w:val="none"/>
              </w:rPr>
              <w:t xml:space="preserve">分值</w:t>
            </w:r>
            <w:r>
              <w:rPr>
                <w:rFonts w:hint="eastAsia" w:ascii="宋体" w:hAnsi="宋体" w:cs="宋体"/>
                <w:b/>
                <w:color w:val="000000"/>
                <w:szCs w:val="21"/>
                <w:highlight w:val="none"/>
              </w:rPr>
            </w:r>
            <w:r/>
          </w:p>
        </w:tc>
        <w:tc>
          <w:tcPr>
            <w:tcW w:w="5036" w:type="dxa"/>
            <w:vAlign w:val="center"/>
            <w:textDirection w:val="lrTb"/>
            <w:noWrap w:val="false"/>
          </w:tcPr>
          <w:p>
            <w:pPr>
              <w:pStyle w:val="825"/>
              <w:rPr>
                <w:rFonts w:hint="eastAsia" w:ascii="宋体" w:hAnsi="宋体" w:cs="宋体"/>
                <w:b/>
                <w:color w:val="000000"/>
                <w:szCs w:val="21"/>
                <w:highlight w:val="none"/>
              </w:rPr>
            </w:pPr>
            <w:r>
              <w:rPr>
                <w:rFonts w:hint="eastAsia"/>
                <w:b/>
                <w:highlight w:val="none"/>
              </w:rPr>
              <w:t xml:space="preserve">评分标准</w:t>
            </w:r>
            <w:r>
              <w:rPr>
                <w:rFonts w:hint="eastAsia" w:ascii="宋体" w:hAnsi="宋体" w:cs="宋体"/>
                <w:b/>
                <w:color w:val="000000"/>
                <w:szCs w:val="21"/>
                <w:highlight w:val="none"/>
              </w:rPr>
            </w:r>
            <w:r/>
          </w:p>
        </w:tc>
        <w:tc>
          <w:tcPr>
            <w:tcW w:w="1900" w:type="dxa"/>
            <w:vAlign w:val="center"/>
            <w:textDirection w:val="lrTb"/>
            <w:noWrap w:val="false"/>
          </w:tcPr>
          <w:p>
            <w:pPr>
              <w:pStyle w:val="825"/>
              <w:rPr>
                <w:rFonts w:hint="eastAsia" w:ascii="宋体" w:hAnsi="宋体" w:eastAsia="宋体" w:cs="宋体"/>
                <w:color w:val="000000"/>
                <w:sz w:val="21"/>
                <w:szCs w:val="21"/>
                <w:highlight w:val="none"/>
              </w:rPr>
            </w:pPr>
            <w:r>
              <w:rPr>
                <w:rFonts w:hint="eastAsia"/>
                <w:b/>
                <w:highlight w:val="none"/>
              </w:rPr>
              <w:t xml:space="preserve">说明</w:t>
            </w:r>
            <w:r>
              <w:rPr>
                <w:rFonts w:hint="eastAsia" w:ascii="宋体" w:hAnsi="宋体" w:eastAsia="宋体" w:cs="宋体"/>
                <w:color w:val="000000"/>
                <w:sz w:val="21"/>
                <w:szCs w:val="21"/>
                <w:highlight w:val="none"/>
              </w:rPr>
            </w:r>
            <w:r/>
          </w:p>
        </w:tc>
      </w:tr>
      <w:tr>
        <w:trPr>
          <w:trHeight w:val="1313"/>
        </w:trPr>
        <w:tc>
          <w:tcPr>
            <w:tcW w:w="846" w:type="dxa"/>
            <w:vAlign w:val="center"/>
            <w:textDirection w:val="lrTb"/>
            <w:noWrap w:val="false"/>
          </w:tcPr>
          <w:p>
            <w:pPr>
              <w:pStyle w:val="825"/>
              <w:jc w:val="center"/>
              <w:rPr>
                <w:rFonts w:hint="eastAsia" w:ascii="宋体" w:hAnsi="宋体" w:cs="宋体"/>
                <w:b/>
                <w:bCs/>
                <w:color w:val="000000"/>
                <w:szCs w:val="21"/>
                <w:highlight w:val="none"/>
              </w:rPr>
            </w:pPr>
            <w:r>
              <w:rPr>
                <w:rFonts w:hint="eastAsia"/>
                <w:b/>
                <w:bCs/>
                <w:highlight w:val="none"/>
              </w:rPr>
              <w:t xml:space="preserve">1</w:t>
            </w:r>
            <w:r>
              <w:rPr>
                <w:rFonts w:hint="eastAsia" w:ascii="宋体" w:hAnsi="宋体" w:cs="宋体"/>
                <w:b/>
                <w:bCs/>
                <w:color w:val="000000"/>
                <w:szCs w:val="21"/>
                <w:highlight w:val="none"/>
              </w:rPr>
            </w:r>
            <w:r/>
          </w:p>
        </w:tc>
        <w:tc>
          <w:tcPr>
            <w:tcW w:w="1260" w:type="dxa"/>
            <w:vAlign w:val="center"/>
            <w:textDirection w:val="lrTb"/>
            <w:noWrap w:val="false"/>
          </w:tcPr>
          <w:p>
            <w:pPr>
              <w:pStyle w:val="825"/>
              <w:jc w:val="center"/>
              <w:rPr>
                <w:rFonts w:hint="eastAsia" w:ascii="宋体" w:hAnsi="宋体" w:cs="宋体"/>
                <w:b/>
                <w:bCs/>
                <w:color w:val="000000"/>
                <w:szCs w:val="21"/>
                <w:highlight w:val="none"/>
              </w:rPr>
            </w:pPr>
            <w:r>
              <w:rPr>
                <w:rFonts w:hint="eastAsia"/>
                <w:b/>
                <w:bCs/>
                <w:highlight w:val="none"/>
              </w:rPr>
              <w:t xml:space="preserve">价格分</w:t>
            </w:r>
            <w:r>
              <w:rPr>
                <w:rFonts w:hint="eastAsia" w:ascii="宋体" w:hAnsi="宋体" w:cs="宋体"/>
                <w:b/>
                <w:bCs/>
                <w:color w:val="000000"/>
                <w:szCs w:val="21"/>
                <w:highlight w:val="none"/>
              </w:rPr>
            </w:r>
            <w:r/>
          </w:p>
        </w:tc>
        <w:tc>
          <w:tcPr>
            <w:tcW w:w="795" w:type="dxa"/>
            <w:vAlign w:val="center"/>
            <w:textDirection w:val="lrTb"/>
            <w:noWrap w:val="false"/>
          </w:tcPr>
          <w:p>
            <w:pPr>
              <w:pStyle w:val="825"/>
              <w:jc w:val="center"/>
              <w:rPr>
                <w:rFonts w:ascii="宋体" w:hAnsi="宋体" w:eastAsia="宋体" w:cs="宋体"/>
                <w:b/>
                <w:bCs/>
                <w:color w:val="000000"/>
                <w:szCs w:val="21"/>
                <w:highlight w:val="none"/>
                <w:lang w:val="en-US" w:eastAsia="zh-CN"/>
              </w:rPr>
            </w:pPr>
            <w:r>
              <w:rPr>
                <w:rFonts w:hint="eastAsia"/>
                <w:b/>
                <w:bCs/>
                <w:highlight w:val="none"/>
                <w:lang w:val="en-US" w:eastAsia="zh-CN"/>
              </w:rPr>
              <w:t xml:space="preserve">20</w:t>
            </w:r>
            <w:r>
              <w:rPr>
                <w:rFonts w:ascii="宋体" w:hAnsi="宋体" w:eastAsia="宋体" w:cs="宋体"/>
                <w:b/>
                <w:bCs/>
                <w:color w:val="000000"/>
                <w:szCs w:val="21"/>
                <w:highlight w:val="none"/>
                <w:lang w:val="en-US" w:eastAsia="zh-CN"/>
              </w:rPr>
            </w:r>
            <w:r/>
          </w:p>
        </w:tc>
        <w:tc>
          <w:tcPr>
            <w:tcW w:w="5036" w:type="dxa"/>
            <w:vAlign w:val="center"/>
            <w:textDirection w:val="lrTb"/>
            <w:noWrap w:val="false"/>
          </w:tcPr>
          <w:p>
            <w:pPr>
              <w:pStyle w:val="825"/>
              <w:rPr>
                <w:sz w:val="24"/>
                <w:highlight w:val="none"/>
              </w:rPr>
            </w:pPr>
            <w:r>
              <w:rPr>
                <w:rFonts w:hint="eastAsia"/>
                <w:sz w:val="24"/>
                <w:highlight w:val="none"/>
              </w:rPr>
              <w:t xml:space="preserve">满足招标文件要求且投标优惠率最高的投标报价为评标基准价，其价格分为满分</w:t>
            </w:r>
            <w:r>
              <w:rPr>
                <w:sz w:val="24"/>
                <w:highlight w:val="none"/>
              </w:rPr>
              <w:t xml:space="preserve">。其他投标人的价格分统一按照下列公式计算：</w:t>
            </w:r>
            <w:r>
              <w:rPr>
                <w:sz w:val="24"/>
                <w:highlight w:val="none"/>
              </w:rPr>
            </w:r>
            <w:r/>
          </w:p>
          <w:p>
            <w:pPr>
              <w:pStyle w:val="825"/>
              <w:rPr>
                <w:rFonts w:hint="eastAsia" w:ascii="宋体" w:hAnsi="宋体" w:cs="宋体"/>
                <w:color w:val="000000"/>
                <w:szCs w:val="21"/>
                <w:highlight w:val="none"/>
              </w:rPr>
            </w:pPr>
            <w:r>
              <w:rPr>
                <w:sz w:val="24"/>
                <w:highlight w:val="none"/>
              </w:rPr>
              <w:t xml:space="preserve">投标报价得分＝（评标基准价/投标报价）×分值</w:t>
            </w:r>
            <w:r>
              <w:rPr>
                <w:rFonts w:hint="eastAsia"/>
                <w:sz w:val="24"/>
                <w:highlight w:val="none"/>
              </w:rPr>
              <w:t xml:space="preserve">（</w:t>
            </w:r>
            <w:r>
              <w:rPr>
                <w:rFonts w:hint="eastAsia"/>
                <w:sz w:val="24"/>
                <w:highlight w:val="none"/>
                <w:lang w:val="en-US" w:eastAsia="zh-CN"/>
              </w:rPr>
              <w:t xml:space="preserve">20</w:t>
            </w:r>
            <w:r>
              <w:rPr>
                <w:rFonts w:hint="eastAsia"/>
                <w:sz w:val="24"/>
                <w:highlight w:val="none"/>
              </w:rPr>
              <w:t xml:space="preserve">）</w:t>
            </w:r>
            <w:r>
              <w:rPr>
                <w:rFonts w:hint="eastAsia" w:ascii="宋体" w:hAnsi="宋体" w:cs="宋体"/>
                <w:color w:val="000000"/>
                <w:szCs w:val="21"/>
                <w:highlight w:val="none"/>
              </w:rPr>
            </w:r>
            <w:r/>
          </w:p>
        </w:tc>
        <w:tc>
          <w:tcPr>
            <w:tcW w:w="1900" w:type="dxa"/>
            <w:vAlign w:val="center"/>
            <w:textDirection w:val="lrTb"/>
            <w:noWrap w:val="false"/>
          </w:tcPr>
          <w:p>
            <w:pPr>
              <w:pStyle w:val="825"/>
              <w:rPr>
                <w:rFonts w:hint="eastAsia" w:ascii="宋体" w:hAnsi="宋体" w:cs="宋体"/>
                <w:color w:val="000000"/>
                <w:szCs w:val="21"/>
                <w:highlight w:val="none"/>
              </w:rPr>
            </w:pPr>
            <w:r>
              <w:rPr>
                <w:rFonts w:hint="eastAsia"/>
                <w:sz w:val="24"/>
                <w:highlight w:val="none"/>
              </w:rPr>
              <w:t xml:space="preserve">此处最终报价指经过报价修正，及</w:t>
            </w:r>
            <w:r>
              <w:rPr>
                <w:sz w:val="24"/>
                <w:highlight w:val="none"/>
              </w:rPr>
              <w:t xml:space="preserve">因落实政府采购政策进行价格调整</w:t>
            </w:r>
            <w:r>
              <w:rPr>
                <w:rFonts w:hint="eastAsia"/>
                <w:sz w:val="24"/>
                <w:highlight w:val="none"/>
              </w:rPr>
              <w:t xml:space="preserve">后</w:t>
            </w:r>
            <w:r>
              <w:rPr>
                <w:sz w:val="24"/>
                <w:highlight w:val="none"/>
              </w:rPr>
              <w:t xml:space="preserve">的</w:t>
            </w:r>
            <w:r>
              <w:rPr>
                <w:rFonts w:hint="eastAsia"/>
                <w:sz w:val="24"/>
                <w:highlight w:val="none"/>
              </w:rPr>
              <w:t xml:space="preserve">最终报价</w:t>
            </w:r>
            <w:r>
              <w:rPr>
                <w:sz w:val="24"/>
                <w:highlight w:val="none"/>
              </w:rPr>
              <w:t xml:space="preserve">，详见第</w:t>
            </w:r>
            <w:r>
              <w:rPr>
                <w:rFonts w:hint="eastAsia"/>
                <w:sz w:val="24"/>
                <w:highlight w:val="none"/>
                <w:lang w:val="en-US" w:eastAsia="zh-CN"/>
              </w:rPr>
              <w:t xml:space="preserve">四</w:t>
            </w:r>
            <w:r>
              <w:rPr>
                <w:sz w:val="24"/>
                <w:highlight w:val="none"/>
              </w:rPr>
              <w:t xml:space="preserve">章《评标方法和评标标准》</w:t>
            </w:r>
            <w:r>
              <w:rPr>
                <w:rFonts w:hint="eastAsia"/>
                <w:sz w:val="24"/>
                <w:highlight w:val="none"/>
              </w:rPr>
              <w:t xml:space="preserve">2</w:t>
            </w:r>
            <w:r>
              <w:rPr>
                <w:sz w:val="24"/>
                <w:highlight w:val="none"/>
              </w:rPr>
              <w:t xml:space="preserve">.4</w:t>
            </w:r>
            <w:r>
              <w:rPr>
                <w:rFonts w:hint="eastAsia"/>
                <w:sz w:val="24"/>
                <w:highlight w:val="none"/>
              </w:rPr>
              <w:t xml:space="preserve">及</w:t>
            </w:r>
            <w:r>
              <w:rPr>
                <w:sz w:val="24"/>
                <w:highlight w:val="none"/>
              </w:rPr>
              <w:t xml:space="preserve">2.5。</w:t>
            </w:r>
            <w:r>
              <w:rPr>
                <w:rFonts w:hint="eastAsia" w:ascii="宋体" w:hAnsi="宋体" w:cs="宋体"/>
                <w:color w:val="000000"/>
                <w:szCs w:val="21"/>
                <w:highlight w:val="none"/>
              </w:rPr>
            </w:r>
            <w:r/>
          </w:p>
        </w:tc>
      </w:tr>
      <w:tr>
        <w:trPr>
          <w:trHeight w:val="527"/>
        </w:trPr>
        <w:tc>
          <w:tcPr>
            <w:tcW w:w="846" w:type="dxa"/>
            <w:vAlign w:val="center"/>
            <w:textDirection w:val="lrTb"/>
            <w:noWrap w:val="false"/>
          </w:tcPr>
          <w:p>
            <w:pPr>
              <w:pStyle w:val="825"/>
              <w:jc w:val="center"/>
              <w:rPr>
                <w:rFonts w:hint="eastAsia" w:ascii="宋体" w:hAnsi="宋体" w:cs="宋体"/>
                <w:b/>
                <w:bCs/>
                <w:color w:val="000000"/>
                <w:szCs w:val="21"/>
                <w:highlight w:val="none"/>
              </w:rPr>
            </w:pPr>
            <w:r>
              <w:rPr>
                <w:rFonts w:hint="eastAsia"/>
                <w:b/>
                <w:bCs/>
                <w:highlight w:val="none"/>
              </w:rPr>
              <w:t xml:space="preserve">2</w:t>
            </w:r>
            <w:r>
              <w:rPr>
                <w:rFonts w:hint="eastAsia" w:ascii="宋体" w:hAnsi="宋体" w:cs="宋体"/>
                <w:b/>
                <w:bCs/>
                <w:color w:val="000000"/>
                <w:szCs w:val="21"/>
                <w:highlight w:val="none"/>
              </w:rPr>
            </w:r>
            <w:r/>
          </w:p>
        </w:tc>
        <w:tc>
          <w:tcPr>
            <w:tcW w:w="1260" w:type="dxa"/>
            <w:vAlign w:val="center"/>
            <w:textDirection w:val="lrTb"/>
            <w:noWrap w:val="false"/>
          </w:tcPr>
          <w:p>
            <w:pPr>
              <w:pStyle w:val="825"/>
              <w:jc w:val="center"/>
              <w:rPr>
                <w:rFonts w:hint="eastAsia" w:ascii="宋体" w:hAnsi="宋体" w:cs="宋体"/>
                <w:b/>
                <w:bCs/>
                <w:color w:val="000000"/>
                <w:szCs w:val="21"/>
                <w:highlight w:val="none"/>
              </w:rPr>
            </w:pPr>
            <w:r>
              <w:rPr>
                <w:rFonts w:hint="eastAsia"/>
                <w:b/>
                <w:bCs/>
                <w:highlight w:val="none"/>
              </w:rPr>
              <w:t xml:space="preserve">客观分</w:t>
            </w:r>
            <w:r>
              <w:rPr>
                <w:rFonts w:hint="eastAsia" w:ascii="宋体" w:hAnsi="宋体" w:cs="宋体"/>
                <w:b/>
                <w:bCs/>
                <w:color w:val="000000"/>
                <w:szCs w:val="21"/>
                <w:highlight w:val="none"/>
              </w:rPr>
            </w:r>
            <w:r/>
          </w:p>
        </w:tc>
        <w:tc>
          <w:tcPr>
            <w:tcW w:w="795" w:type="dxa"/>
            <w:vAlign w:val="center"/>
            <w:textDirection w:val="lrTb"/>
            <w:noWrap w:val="false"/>
          </w:tcPr>
          <w:p>
            <w:pPr>
              <w:pStyle w:val="825"/>
              <w:jc w:val="center"/>
              <w:rPr>
                <w:rFonts w:ascii="宋体" w:hAnsi="宋体" w:eastAsia="宋体" w:cs="宋体"/>
                <w:b/>
                <w:bCs/>
                <w:color w:val="000000"/>
                <w:szCs w:val="21"/>
                <w:highlight w:val="none"/>
                <w:lang w:val="en-US" w:eastAsia="zh-CN"/>
              </w:rPr>
            </w:pPr>
            <w:r>
              <w:rPr>
                <w:rFonts w:hint="eastAsia"/>
                <w:b/>
                <w:bCs/>
                <w:highlight w:val="none"/>
                <w:lang w:val="en-US" w:eastAsia="zh-CN"/>
              </w:rPr>
              <w:t xml:space="preserve">45</w:t>
            </w:r>
            <w:r>
              <w:rPr>
                <w:rFonts w:ascii="宋体" w:hAnsi="宋体" w:eastAsia="宋体" w:cs="宋体"/>
                <w:b/>
                <w:bCs/>
                <w:color w:val="000000"/>
                <w:szCs w:val="21"/>
                <w:highlight w:val="none"/>
                <w:lang w:val="en-US" w:eastAsia="zh-CN"/>
              </w:rPr>
            </w:r>
            <w:r/>
          </w:p>
        </w:tc>
        <w:tc>
          <w:tcPr>
            <w:tcW w:w="5036" w:type="dxa"/>
            <w:vAlign w:val="center"/>
            <w:textDirection w:val="lrTb"/>
            <w:noWrap w:val="false"/>
          </w:tcPr>
          <w:p>
            <w:pPr>
              <w:pStyle w:val="825"/>
              <w:rPr>
                <w:rFonts w:hint="eastAsia" w:ascii="宋体" w:hAnsi="宋体" w:cs="宋体"/>
                <w:color w:val="000000"/>
                <w:szCs w:val="21"/>
                <w:highlight w:val="none"/>
              </w:rPr>
            </w:pPr>
            <w:r>
              <w:rPr>
                <w:rFonts w:hint="eastAsia" w:ascii="宋体" w:hAnsi="宋体" w:cs="宋体"/>
                <w:color w:val="000000"/>
                <w:szCs w:val="21"/>
                <w:highlight w:val="none"/>
              </w:rPr>
            </w:r>
            <w:r/>
          </w:p>
        </w:tc>
        <w:tc>
          <w:tcPr>
            <w:tcW w:w="1900" w:type="dxa"/>
            <w:vAlign w:val="center"/>
            <w:textDirection w:val="lrTb"/>
            <w:noWrap w:val="false"/>
          </w:tcPr>
          <w:p>
            <w:pPr>
              <w:pStyle w:val="825"/>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46" w:type="dxa"/>
            <w:vAlign w:val="center"/>
            <w:textDirection w:val="lrTb"/>
            <w:noWrap w:val="false"/>
          </w:tcPr>
          <w:p>
            <w:pPr>
              <w:pStyle w:val="825"/>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w:t>
            </w: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pStyle w:val="825"/>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企业业绩</w:t>
            </w:r>
            <w:r>
              <w:rPr>
                <w:rFonts w:ascii="宋体" w:hAnsi="宋体" w:eastAsia="宋体" w:cs="宋体"/>
                <w:sz w:val="24"/>
                <w:szCs w:val="24"/>
                <w:highlight w:val="none"/>
                <w:lang w:val="en-US" w:eastAsia="zh-CN" w:bidi="ar-SA"/>
              </w:rPr>
            </w:r>
            <w:r/>
          </w:p>
        </w:tc>
        <w:tc>
          <w:tcPr>
            <w:tcW w:w="795" w:type="dxa"/>
            <w:vAlign w:val="center"/>
            <w:textDirection w:val="lrTb"/>
            <w:noWrap w:val="false"/>
          </w:tcPr>
          <w:p>
            <w:pPr>
              <w:pStyle w:val="825"/>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8</w:t>
            </w:r>
            <w:r>
              <w:rPr>
                <w:rFonts w:ascii="宋体" w:hAnsi="宋体" w:eastAsia="宋体" w:cs="宋体"/>
                <w:sz w:val="24"/>
                <w:szCs w:val="24"/>
                <w:highlight w:val="none"/>
                <w:lang w:val="en-US" w:eastAsia="zh-CN" w:bidi="ar-SA"/>
              </w:rPr>
            </w:r>
            <w:r/>
          </w:p>
        </w:tc>
        <w:tc>
          <w:tcPr>
            <w:tcW w:w="5036" w:type="dxa"/>
            <w:vAlign w:val="center"/>
            <w:textDirection w:val="lrTb"/>
            <w:noWrap w:val="false"/>
          </w:tcPr>
          <w:p>
            <w:pPr>
              <w:pStyle w:val="1081"/>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供应商自2023年1月1日以来（时间以合同签订时间为准）承接类似项目（绿化养护服务或环卫保洁服务）业绩的，有1个得2分，最高得8分。</w:t>
            </w:r>
            <w:r>
              <w:rPr>
                <w:rFonts w:hint="eastAsia" w:ascii="宋体" w:hAnsi="宋体" w:eastAsia="宋体" w:cs="宋体"/>
                <w:sz w:val="24"/>
                <w:szCs w:val="24"/>
                <w:highlight w:val="none"/>
                <w:lang w:val="en-US" w:eastAsia="zh-CN" w:bidi="ar-SA"/>
              </w:rPr>
            </w:r>
            <w:r/>
          </w:p>
          <w:p>
            <w:pPr>
              <w:pStyle w:val="1081"/>
              <w:jc w:val="left"/>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注：绿化养护服务合同限评两个</w:t>
            </w:r>
            <w:r>
              <w:rPr>
                <w:rFonts w:hint="eastAsia" w:ascii="宋体" w:hAnsi="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环卫保洁服务</w:t>
            </w:r>
            <w:r>
              <w:rPr>
                <w:rFonts w:hint="eastAsia" w:ascii="宋体" w:hAnsi="宋体" w:cs="宋体"/>
                <w:b/>
                <w:bCs/>
                <w:sz w:val="24"/>
                <w:szCs w:val="24"/>
                <w:highlight w:val="none"/>
                <w:lang w:val="en-US" w:eastAsia="zh-CN" w:bidi="ar-SA"/>
              </w:rPr>
              <w:t xml:space="preserve">的合同限评两个，</w:t>
            </w:r>
            <w:r>
              <w:rPr>
                <w:rFonts w:hint="eastAsia" w:ascii="宋体" w:hAnsi="宋体" w:eastAsia="宋体" w:cs="宋体"/>
                <w:b/>
                <w:bCs/>
                <w:sz w:val="24"/>
                <w:szCs w:val="24"/>
                <w:highlight w:val="none"/>
                <w:lang w:val="en-US" w:eastAsia="zh-CN" w:bidi="ar-SA"/>
              </w:rPr>
              <w:t xml:space="preserve">提供项目合同</w:t>
            </w:r>
            <w:r>
              <w:rPr>
                <w:rFonts w:hint="eastAsia" w:ascii="宋体" w:hAnsi="宋体" w:cs="宋体"/>
                <w:b/>
                <w:bCs/>
                <w:sz w:val="24"/>
                <w:szCs w:val="24"/>
                <w:highlight w:val="none"/>
                <w:lang w:val="en-US" w:eastAsia="zh-CN" w:bidi="ar-SA"/>
              </w:rPr>
              <w:t xml:space="preserve">原件扫描</w:t>
            </w:r>
            <w:r>
              <w:rPr>
                <w:rFonts w:hint="eastAsia" w:ascii="宋体" w:hAnsi="宋体" w:eastAsia="宋体" w:cs="宋体"/>
                <w:b/>
                <w:bCs/>
                <w:sz w:val="24"/>
                <w:szCs w:val="24"/>
                <w:highlight w:val="none"/>
                <w:lang w:val="en-US" w:eastAsia="zh-CN" w:bidi="ar-SA"/>
              </w:rPr>
              <w:t xml:space="preserve">件（以合同签订时间为准），加盖响应单位公章，不提供不得分。</w:t>
            </w:r>
            <w:r>
              <w:rPr>
                <w:rFonts w:hint="eastAsia" w:ascii="宋体" w:hAnsi="宋体" w:eastAsia="宋体" w:cs="宋体"/>
                <w:sz w:val="24"/>
                <w:szCs w:val="24"/>
                <w:highlight w:val="none"/>
                <w:lang w:val="en-US" w:eastAsia="zh-CN" w:bidi="ar-SA"/>
              </w:rPr>
            </w:r>
            <w:r/>
          </w:p>
        </w:tc>
        <w:tc>
          <w:tcPr>
            <w:tcW w:w="1900" w:type="dxa"/>
            <w:vAlign w:val="center"/>
            <w:textDirection w:val="lrTb"/>
            <w:noWrap w:val="false"/>
          </w:tcPr>
          <w:p>
            <w:pPr>
              <w:pStyle w:val="825"/>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57"/>
        </w:trPr>
        <w:tc>
          <w:tcPr>
            <w:tcW w:w="846" w:type="dxa"/>
            <w:vAlign w:val="center"/>
            <w:textDirection w:val="lrTb"/>
            <w:noWrap w:val="false"/>
          </w:tcPr>
          <w:p>
            <w:pPr>
              <w:pStyle w:val="825"/>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pStyle w:val="825"/>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体系认证</w:t>
            </w:r>
            <w:r>
              <w:rPr>
                <w:rFonts w:ascii="宋体" w:hAnsi="宋体" w:eastAsia="宋体" w:cs="宋体"/>
                <w:sz w:val="24"/>
                <w:szCs w:val="24"/>
                <w:highlight w:val="none"/>
                <w:lang w:val="en-US" w:eastAsia="zh-CN" w:bidi="ar-SA"/>
              </w:rPr>
            </w:r>
            <w:r/>
          </w:p>
        </w:tc>
        <w:tc>
          <w:tcPr>
            <w:tcW w:w="795" w:type="dxa"/>
            <w:vAlign w:val="center"/>
            <w:textDirection w:val="lrTb"/>
            <w:noWrap w:val="false"/>
          </w:tcPr>
          <w:p>
            <w:pPr>
              <w:pStyle w:val="825"/>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rPr>
                <w:rFonts w:ascii="宋体" w:hAnsi="宋体" w:eastAsia="宋体" w:cs="宋体"/>
                <w:sz w:val="24"/>
                <w:szCs w:val="24"/>
                <w:highlight w:val="none"/>
                <w:lang w:val="en-US" w:eastAsia="zh-CN" w:bidi="ar-SA"/>
              </w:rPr>
            </w:r>
            <w:r/>
          </w:p>
        </w:tc>
        <w:tc>
          <w:tcPr>
            <w:tcW w:w="5036" w:type="dxa"/>
            <w:vAlign w:val="center"/>
            <w:textDirection w:val="lrTb"/>
            <w:noWrap w:val="false"/>
          </w:tcPr>
          <w:p>
            <w:pPr>
              <w:pStyle w:val="1081"/>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供应商具有有效的质量管理体系认证证书、环境管理体系认证证书、职业健康安全管理体系认证证书</w:t>
            </w:r>
            <w:r>
              <w:rPr>
                <w:rFonts w:hint="eastAsia" w:ascii="宋体" w:hAnsi="宋体" w:cs="宋体"/>
                <w:sz w:val="24"/>
                <w:szCs w:val="24"/>
                <w:highlight w:val="none"/>
                <w:lang w:val="en-US" w:eastAsia="zh-CN" w:bidi="ar-SA"/>
              </w:rPr>
              <w:t xml:space="preserve">，认证范围均须包含“绿化养护服务”类似内容</w:t>
            </w:r>
            <w:r>
              <w:rPr>
                <w:rFonts w:hint="eastAsia" w:ascii="宋体" w:hAnsi="宋体" w:eastAsia="宋体" w:cs="宋体"/>
                <w:sz w:val="24"/>
                <w:szCs w:val="24"/>
                <w:highlight w:val="none"/>
                <w:lang w:val="en-US" w:eastAsia="zh-CN" w:bidi="ar-SA"/>
              </w:rPr>
              <w:t xml:space="preserve">，有1个得1分，最高得</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分。</w:t>
            </w:r>
            <w:r>
              <w:rPr>
                <w:rFonts w:hint="eastAsia" w:ascii="宋体" w:hAnsi="宋体" w:eastAsia="宋体" w:cs="宋体"/>
                <w:sz w:val="24"/>
                <w:szCs w:val="24"/>
                <w:highlight w:val="none"/>
                <w:lang w:val="en-US" w:eastAsia="zh-CN" w:bidi="ar-SA"/>
              </w:rPr>
            </w:r>
            <w:r/>
          </w:p>
          <w:p>
            <w:pPr>
              <w:pStyle w:val="1081"/>
              <w:ind w:firstLine="482"/>
              <w:jc w:val="left"/>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注：提供</w:t>
            </w:r>
            <w:r>
              <w:rPr>
                <w:rFonts w:hint="eastAsia" w:ascii="宋体" w:hAnsi="宋体" w:cs="宋体"/>
                <w:b/>
                <w:bCs/>
                <w:sz w:val="24"/>
                <w:szCs w:val="24"/>
                <w:highlight w:val="none"/>
                <w:lang w:val="en-US" w:eastAsia="zh-CN" w:bidi="ar-SA"/>
              </w:rPr>
              <w:t xml:space="preserve">相关</w:t>
            </w:r>
            <w:r>
              <w:rPr>
                <w:rFonts w:hint="eastAsia" w:ascii="宋体" w:hAnsi="宋体" w:eastAsia="宋体" w:cs="宋体"/>
                <w:b/>
                <w:bCs/>
                <w:sz w:val="24"/>
                <w:szCs w:val="24"/>
                <w:highlight w:val="none"/>
                <w:lang w:val="en-US" w:eastAsia="zh-CN" w:bidi="ar-SA"/>
              </w:rPr>
              <w:t xml:space="preserve">证书</w:t>
            </w:r>
            <w:r>
              <w:rPr>
                <w:rFonts w:hint="eastAsia" w:ascii="宋体" w:hAnsi="宋体" w:cs="宋体"/>
                <w:b/>
                <w:bCs/>
                <w:sz w:val="24"/>
                <w:szCs w:val="24"/>
                <w:highlight w:val="none"/>
                <w:lang w:val="en-US" w:eastAsia="zh-CN" w:bidi="ar-SA"/>
              </w:rPr>
              <w:t xml:space="preserve">或全国认证认可信息公共服务平台查询有效的网页截图的扫描件</w:t>
            </w:r>
            <w:r>
              <w:rPr>
                <w:rFonts w:hint="eastAsia" w:ascii="宋体" w:hAnsi="宋体" w:eastAsia="宋体" w:cs="宋体"/>
                <w:b/>
                <w:bCs/>
                <w:sz w:val="24"/>
                <w:szCs w:val="24"/>
                <w:highlight w:val="none"/>
                <w:lang w:val="en-US" w:eastAsia="zh-CN" w:bidi="ar-SA"/>
              </w:rPr>
              <w:t xml:space="preserve">，加盖投标供应商公章，否则不</w:t>
            </w:r>
            <w:r>
              <w:rPr>
                <w:rFonts w:hint="eastAsia" w:ascii="宋体" w:hAnsi="宋体" w:cs="宋体"/>
                <w:b/>
                <w:bCs/>
                <w:sz w:val="24"/>
                <w:szCs w:val="24"/>
                <w:highlight w:val="none"/>
                <w:lang w:val="en-US" w:eastAsia="zh-CN" w:bidi="ar-SA"/>
              </w:rPr>
              <w:t xml:space="preserve">得分</w:t>
            </w:r>
            <w:r>
              <w:rPr>
                <w:rFonts w:hint="eastAsia" w:ascii="宋体" w:hAnsi="宋体" w:eastAsia="宋体" w:cs="宋体"/>
                <w:b/>
                <w:bCs/>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tc>
        <w:tc>
          <w:tcPr>
            <w:tcW w:w="1900" w:type="dxa"/>
            <w:vAlign w:val="center"/>
            <w:textDirection w:val="lrTb"/>
            <w:noWrap w:val="false"/>
          </w:tcPr>
          <w:p>
            <w:pPr>
              <w:pStyle w:val="825"/>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07"/>
        </w:trPr>
        <w:tc>
          <w:tcPr>
            <w:tcW w:w="846" w:type="dxa"/>
            <w:vAlign w:val="center"/>
            <w:textDirection w:val="lrTb"/>
            <w:noWrap w:val="false"/>
          </w:tcPr>
          <w:p>
            <w:pPr>
              <w:pStyle w:val="825"/>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2.3</w:t>
            </w:r>
            <w:r>
              <w:rPr>
                <w:rFonts w:ascii="宋体" w:hAnsi="宋体" w:eastAsia="宋体" w:cs="宋体"/>
                <w:sz w:val="24"/>
                <w:szCs w:val="24"/>
                <w:highlight w:val="none"/>
                <w:lang w:val="en-US" w:eastAsia="zh-CN" w:bidi="ar-SA"/>
              </w:rPr>
            </w:r>
            <w:r/>
          </w:p>
        </w:tc>
        <w:tc>
          <w:tcPr>
            <w:tcW w:w="1260" w:type="dxa"/>
            <w:vAlign w:val="center"/>
            <w:textDirection w:val="lrTb"/>
            <w:noWrap w:val="false"/>
          </w:tcPr>
          <w:p>
            <w:pPr>
              <w:pStyle w:val="825"/>
              <w:jc w:val="center"/>
              <w:rPr>
                <w:rFonts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企业荣誉</w:t>
            </w:r>
            <w:r>
              <w:rPr>
                <w:rFonts w:ascii="宋体" w:hAnsi="宋体" w:cs="宋体"/>
                <w:sz w:val="24"/>
                <w:szCs w:val="24"/>
                <w:highlight w:val="none"/>
                <w:lang w:val="en-US" w:eastAsia="zh-CN" w:bidi="ar-SA"/>
              </w:rPr>
            </w:r>
            <w:r/>
          </w:p>
        </w:tc>
        <w:tc>
          <w:tcPr>
            <w:tcW w:w="795" w:type="dxa"/>
            <w:vAlign w:val="center"/>
            <w:textDirection w:val="lrTb"/>
            <w:noWrap w:val="false"/>
          </w:tcPr>
          <w:p>
            <w:pPr>
              <w:pStyle w:val="825"/>
              <w:jc w:val="center"/>
              <w:rPr>
                <w:rFonts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4</w:t>
            </w:r>
            <w:r>
              <w:rPr>
                <w:rFonts w:ascii="宋体" w:hAnsi="宋体" w:cs="宋体"/>
                <w:sz w:val="24"/>
                <w:szCs w:val="24"/>
                <w:highlight w:val="none"/>
                <w:lang w:val="en-US" w:eastAsia="zh-CN" w:bidi="ar-SA"/>
              </w:rPr>
            </w:r>
            <w:r/>
          </w:p>
        </w:tc>
        <w:tc>
          <w:tcPr>
            <w:tcW w:w="5036" w:type="dxa"/>
            <w:vAlign w:val="center"/>
            <w:textDirection w:val="lrTb"/>
            <w:noWrap w:val="false"/>
          </w:tcPr>
          <w:p>
            <w:pPr>
              <w:pStyle w:val="1081"/>
              <w:ind w:firstLine="480"/>
              <w:jc w:val="left"/>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供应商</w:t>
            </w:r>
            <w:r>
              <w:rPr>
                <w:rFonts w:hint="eastAsia" w:ascii="宋体" w:hAnsi="宋体" w:eastAsia="宋体" w:cs="宋体"/>
                <w:b w:val="0"/>
                <w:bCs w:val="0"/>
                <w:sz w:val="24"/>
                <w:szCs w:val="24"/>
                <w:highlight w:val="none"/>
                <w:lang w:val="en-US" w:eastAsia="zh-CN" w:bidi="ar-SA"/>
              </w:rPr>
              <w:t xml:space="preserve">自202</w:t>
            </w:r>
            <w:r>
              <w:rPr>
                <w:rFonts w:hint="eastAsia" w:ascii="宋体" w:hAnsi="宋体" w:cs="宋体"/>
                <w:b w:val="0"/>
                <w:bCs w:val="0"/>
                <w:sz w:val="24"/>
                <w:szCs w:val="24"/>
                <w:highlight w:val="none"/>
                <w:lang w:val="en-US" w:eastAsia="zh-CN" w:bidi="ar-SA"/>
              </w:rPr>
              <w:t xml:space="preserve">3</w:t>
            </w:r>
            <w:r>
              <w:rPr>
                <w:rFonts w:hint="eastAsia" w:ascii="宋体" w:hAnsi="宋体" w:eastAsia="宋体" w:cs="宋体"/>
                <w:b w:val="0"/>
                <w:bCs w:val="0"/>
                <w:sz w:val="24"/>
                <w:szCs w:val="24"/>
                <w:highlight w:val="none"/>
                <w:lang w:val="en-US" w:eastAsia="zh-CN" w:bidi="ar-SA"/>
              </w:rPr>
              <w:t xml:space="preserve">年1月1日以来，</w:t>
            </w:r>
            <w:r>
              <w:rPr>
                <w:rFonts w:hint="eastAsia" w:ascii="宋体" w:hAnsi="宋体" w:cs="宋体"/>
                <w:b w:val="0"/>
                <w:bCs w:val="0"/>
                <w:sz w:val="24"/>
                <w:szCs w:val="24"/>
                <w:highlight w:val="none"/>
                <w:lang w:val="en-US" w:eastAsia="zh-CN" w:bidi="ar-SA"/>
              </w:rPr>
              <w:t xml:space="preserve">供应商</w:t>
            </w:r>
            <w:r>
              <w:rPr>
                <w:rFonts w:hint="eastAsia" w:ascii="宋体" w:hAnsi="宋体" w:eastAsia="宋体" w:cs="宋体"/>
                <w:b w:val="0"/>
                <w:bCs w:val="0"/>
                <w:sz w:val="24"/>
                <w:szCs w:val="24"/>
                <w:highlight w:val="none"/>
                <w:lang w:val="en-US" w:eastAsia="zh-CN" w:bidi="ar-SA"/>
              </w:rPr>
              <w:t xml:space="preserve">获得区级及以上政府部门颁发的荣誉的，有一个得</w:t>
            </w:r>
            <w:r>
              <w:rPr>
                <w:rFonts w:hint="eastAsia" w:ascii="宋体" w:hAnsi="宋体" w:cs="宋体"/>
                <w:b w:val="0"/>
                <w:bCs w:val="0"/>
                <w:sz w:val="24"/>
                <w:szCs w:val="24"/>
                <w:highlight w:val="none"/>
                <w:lang w:val="en-US" w:eastAsia="zh-CN" w:bidi="ar-SA"/>
              </w:rPr>
              <w:t xml:space="preserve">2</w:t>
            </w:r>
            <w:r>
              <w:rPr>
                <w:rFonts w:hint="eastAsia" w:ascii="宋体" w:hAnsi="宋体" w:eastAsia="宋体" w:cs="宋体"/>
                <w:b w:val="0"/>
                <w:bCs w:val="0"/>
                <w:sz w:val="24"/>
                <w:szCs w:val="24"/>
                <w:highlight w:val="none"/>
                <w:lang w:val="en-US" w:eastAsia="zh-CN" w:bidi="ar-SA"/>
              </w:rPr>
              <w:t xml:space="preserve">分，本项最高得</w:t>
            </w:r>
            <w:r>
              <w:rPr>
                <w:rFonts w:hint="eastAsia" w:ascii="宋体" w:hAnsi="宋体" w:cs="宋体"/>
                <w:b w:val="0"/>
                <w:bCs w:val="0"/>
                <w:sz w:val="24"/>
                <w:szCs w:val="24"/>
                <w:highlight w:val="none"/>
                <w:lang w:val="en-US" w:eastAsia="zh-CN" w:bidi="ar-SA"/>
              </w:rPr>
              <w:t xml:space="preserve">4</w:t>
            </w:r>
            <w:r>
              <w:rPr>
                <w:rFonts w:hint="eastAsia" w:ascii="宋体" w:hAnsi="宋体" w:eastAsia="宋体" w:cs="宋体"/>
                <w:b w:val="0"/>
                <w:bCs w:val="0"/>
                <w:sz w:val="24"/>
                <w:szCs w:val="24"/>
                <w:highlight w:val="none"/>
                <w:lang w:val="en-US" w:eastAsia="zh-CN" w:bidi="ar-SA"/>
              </w:rPr>
              <w:t xml:space="preserve">分。</w:t>
            </w:r>
            <w:r>
              <w:rPr>
                <w:rFonts w:hint="eastAsia" w:ascii="宋体" w:hAnsi="宋体" w:eastAsia="宋体" w:cs="宋体"/>
                <w:b w:val="0"/>
                <w:bCs w:val="0"/>
                <w:sz w:val="24"/>
                <w:szCs w:val="24"/>
                <w:highlight w:val="none"/>
                <w:lang w:val="en-US" w:eastAsia="zh-CN" w:bidi="ar-SA"/>
              </w:rPr>
            </w:r>
            <w:r/>
          </w:p>
          <w:p>
            <w:pPr>
              <w:pStyle w:val="1081"/>
              <w:ind w:firstLine="482"/>
              <w:jc w:val="lef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注：投标文件中提供证书或获奖证明材料</w:t>
            </w:r>
            <w:r>
              <w:rPr>
                <w:rFonts w:hint="eastAsia" w:ascii="宋体" w:hAnsi="宋体" w:cs="宋体"/>
                <w:b/>
                <w:bCs/>
                <w:sz w:val="24"/>
                <w:szCs w:val="24"/>
                <w:highlight w:val="none"/>
                <w:lang w:val="en-US" w:eastAsia="zh-CN" w:bidi="ar-SA"/>
              </w:rPr>
              <w:t xml:space="preserve">扫描</w:t>
            </w:r>
            <w:r>
              <w:rPr>
                <w:rFonts w:hint="eastAsia" w:ascii="宋体" w:hAnsi="宋体" w:eastAsia="宋体" w:cs="宋体"/>
                <w:b/>
                <w:bCs/>
                <w:sz w:val="24"/>
                <w:szCs w:val="24"/>
                <w:highlight w:val="none"/>
                <w:lang w:val="en-US" w:eastAsia="zh-CN" w:bidi="ar-SA"/>
              </w:rPr>
              <w:t xml:space="preserve">件加盖投标人公章，时间以证书或获奖证明材料上所载时间为准，否则不得分。</w:t>
            </w:r>
            <w:r>
              <w:rPr>
                <w:rFonts w:hint="eastAsia" w:ascii="宋体" w:hAnsi="宋体" w:eastAsia="宋体" w:cs="宋体"/>
                <w:b/>
                <w:bCs/>
                <w:sz w:val="24"/>
                <w:szCs w:val="24"/>
                <w:highlight w:val="none"/>
                <w:lang w:val="en-US" w:eastAsia="zh-CN" w:bidi="ar-SA"/>
              </w:rPr>
            </w:r>
            <w:r/>
          </w:p>
        </w:tc>
        <w:tc>
          <w:tcPr>
            <w:tcW w:w="1900" w:type="dxa"/>
            <w:vAlign w:val="center"/>
            <w:textDirection w:val="lrTb"/>
            <w:noWrap w:val="false"/>
          </w:tcPr>
          <w:p>
            <w:pPr>
              <w:pStyle w:val="825"/>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rHeight w:val="90"/>
        </w:trPr>
        <w:tc>
          <w:tcPr>
            <w:tcW w:w="846" w:type="dxa"/>
            <w:vAlign w:val="center"/>
            <w:textDirection w:val="lrTb"/>
            <w:noWrap w:val="false"/>
          </w:tcPr>
          <w:p>
            <w:pPr>
              <w:pStyle w:val="825"/>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2.4</w:t>
            </w:r>
            <w:r>
              <w:rPr>
                <w:rFonts w:ascii="宋体" w:hAnsi="宋体" w:eastAsia="宋体" w:cs="宋体"/>
                <w:sz w:val="24"/>
                <w:szCs w:val="24"/>
                <w:highlight w:val="none"/>
                <w:lang w:val="en-US" w:eastAsia="zh-CN" w:bidi="ar-SA"/>
              </w:rPr>
            </w:r>
            <w:r/>
          </w:p>
        </w:tc>
        <w:tc>
          <w:tcPr>
            <w:tcW w:w="1260" w:type="dxa"/>
            <w:vAlign w:val="center"/>
            <w:textDirection w:val="lrTb"/>
            <w:noWrap w:val="false"/>
          </w:tcPr>
          <w:p>
            <w:pPr>
              <w:pStyle w:val="825"/>
              <w:jc w:val="center"/>
              <w:rPr>
                <w:rFonts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绿化管养负责人</w:t>
            </w:r>
            <w:r>
              <w:rPr>
                <w:rFonts w:ascii="宋体" w:hAnsi="宋体" w:cs="宋体"/>
                <w:sz w:val="24"/>
                <w:szCs w:val="24"/>
                <w:highlight w:val="none"/>
                <w:lang w:val="en-US" w:eastAsia="zh-CN" w:bidi="ar-SA"/>
              </w:rPr>
            </w:r>
            <w:r/>
          </w:p>
        </w:tc>
        <w:tc>
          <w:tcPr>
            <w:tcW w:w="795" w:type="dxa"/>
            <w:vAlign w:val="center"/>
            <w:textDirection w:val="lrTb"/>
            <w:noWrap w:val="false"/>
          </w:tcPr>
          <w:p>
            <w:pPr>
              <w:pStyle w:val="825"/>
              <w:jc w:val="center"/>
              <w:rPr>
                <w:rFonts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4</w:t>
            </w:r>
            <w:r>
              <w:rPr>
                <w:rFonts w:ascii="宋体" w:hAnsi="宋体" w:cs="宋体"/>
                <w:sz w:val="24"/>
                <w:szCs w:val="24"/>
                <w:highlight w:val="none"/>
                <w:lang w:val="en-US" w:eastAsia="zh-CN" w:bidi="ar-SA"/>
              </w:rPr>
            </w:r>
            <w:r/>
          </w:p>
        </w:tc>
        <w:tc>
          <w:tcPr>
            <w:tcW w:w="5036" w:type="dxa"/>
            <w:vAlign w:val="center"/>
            <w:textDirection w:val="lrTb"/>
            <w:noWrap w:val="false"/>
          </w:tcPr>
          <w:p>
            <w:pPr>
              <w:pStyle w:val="1081"/>
              <w:numPr>
                <w:ilvl w:val="0"/>
                <w:numId w:val="14"/>
              </w:numPr>
              <w:ind w:firstLine="480"/>
              <w:jc w:val="left"/>
              <w:rPr>
                <w:rFonts w:hint="eastAsia" w:ascii="宋体" w:hAnsi="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绿化管养负责人具有人力资源和社会保障部门颁发的高级工程师职称证书</w:t>
            </w:r>
            <w:r>
              <w:rPr>
                <w:rFonts w:hint="eastAsia" w:ascii="宋体" w:hAnsi="宋体" w:cs="宋体"/>
                <w:sz w:val="24"/>
                <w:szCs w:val="24"/>
                <w:highlight w:val="none"/>
                <w:lang w:val="en-US" w:eastAsia="zh-CN" w:bidi="ar-SA"/>
              </w:rPr>
              <w:t xml:space="preserve">（专业为园林绿化相关专业）</w:t>
            </w:r>
            <w:r>
              <w:rPr>
                <w:rFonts w:hint="eastAsia" w:ascii="宋体" w:hAnsi="宋体" w:eastAsia="宋体" w:cs="宋体"/>
                <w:sz w:val="24"/>
                <w:szCs w:val="24"/>
                <w:highlight w:val="none"/>
                <w:lang w:val="en-US" w:eastAsia="zh-CN" w:bidi="ar-SA"/>
              </w:rPr>
              <w:t xml:space="preserve">的得</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，具有中级工程师职称证书</w:t>
            </w:r>
            <w:r>
              <w:rPr>
                <w:rFonts w:hint="eastAsia" w:ascii="宋体" w:hAnsi="宋体" w:cs="宋体"/>
                <w:sz w:val="24"/>
                <w:szCs w:val="24"/>
                <w:highlight w:val="none"/>
                <w:lang w:val="en-US" w:eastAsia="zh-CN" w:bidi="ar-SA"/>
              </w:rPr>
              <w:t xml:space="preserve">（专业为园林绿化相关专业）</w:t>
            </w:r>
            <w:r>
              <w:rPr>
                <w:rFonts w:hint="eastAsia" w:ascii="宋体" w:hAnsi="宋体" w:cs="宋体"/>
                <w:sz w:val="24"/>
                <w:szCs w:val="24"/>
                <w:highlight w:val="none"/>
                <w:lang w:val="en-US" w:eastAsia="zh-CN" w:bidi="ar-SA"/>
              </w:rPr>
              <w:t xml:space="preserve">的得1分；</w:t>
            </w:r>
            <w:r>
              <w:rPr>
                <w:rFonts w:hint="eastAsia" w:ascii="宋体" w:hAnsi="宋体" w:cs="宋体"/>
                <w:sz w:val="24"/>
                <w:szCs w:val="24"/>
                <w:highlight w:val="none"/>
                <w:lang w:val="en-US" w:eastAsia="zh-CN" w:bidi="ar-SA"/>
              </w:rPr>
            </w:r>
            <w:r/>
          </w:p>
          <w:p>
            <w:pPr>
              <w:pStyle w:val="1081"/>
              <w:numPr>
                <w:ilvl w:val="0"/>
                <w:numId w:val="0"/>
              </w:numPr>
              <w:ind w:firstLine="482"/>
              <w:jc w:val="left"/>
              <w:rPr>
                <w:rFonts w:hint="eastAsia" w:ascii="宋体" w:hAnsi="宋体" w:cs="宋体"/>
                <w:sz w:val="24"/>
                <w:szCs w:val="24"/>
                <w:highlight w:val="none"/>
                <w:lang w:val="en-US" w:eastAsia="zh-CN" w:bidi="ar-SA"/>
              </w:rPr>
            </w:pPr>
            <w:r>
              <w:rPr>
                <w:rFonts w:hint="eastAsia" w:ascii="仿宋" w:hAnsi="仿宋" w:cs="仿宋"/>
                <w:b/>
                <w:bCs/>
                <w:sz w:val="24"/>
                <w:szCs w:val="24"/>
                <w:highlight w:val="none"/>
              </w:rPr>
              <w:t xml:space="preserve">注：提供</w:t>
            </w:r>
            <w:r>
              <w:rPr>
                <w:rFonts w:hint="eastAsia" w:ascii="仿宋" w:hAnsi="仿宋" w:cs="仿宋"/>
                <w:b/>
                <w:bCs/>
                <w:sz w:val="24"/>
                <w:szCs w:val="24"/>
                <w:highlight w:val="none"/>
                <w:lang w:val="en-US" w:eastAsia="zh-CN"/>
              </w:rPr>
              <w:t xml:space="preserve">相关</w:t>
            </w:r>
            <w:r>
              <w:rPr>
                <w:rFonts w:hint="eastAsia" w:ascii="仿宋" w:hAnsi="仿宋" w:cs="仿宋"/>
                <w:b/>
                <w:bCs/>
                <w:sz w:val="24"/>
                <w:szCs w:val="24"/>
                <w:highlight w:val="none"/>
              </w:rPr>
              <w:t xml:space="preserve">证书</w:t>
            </w:r>
            <w:r>
              <w:rPr>
                <w:rFonts w:hint="eastAsia" w:ascii="仿宋" w:hAnsi="仿宋" w:cs="仿宋"/>
                <w:b/>
                <w:bCs/>
                <w:sz w:val="24"/>
                <w:szCs w:val="24"/>
                <w:highlight w:val="none"/>
                <w:lang w:val="en-US" w:eastAsia="zh-CN"/>
              </w:rPr>
              <w:t xml:space="preserve">及相关证明材料</w:t>
            </w:r>
            <w:r>
              <w:rPr>
                <w:rFonts w:hint="eastAsia" w:ascii="仿宋" w:hAnsi="仿宋" w:cs="仿宋"/>
                <w:b/>
                <w:bCs/>
                <w:sz w:val="24"/>
                <w:szCs w:val="24"/>
                <w:highlight w:val="none"/>
              </w:rPr>
              <w:t xml:space="preserve">扫</w:t>
            </w:r>
            <w:r>
              <w:rPr>
                <w:rFonts w:hint="eastAsia" w:ascii="仿宋" w:hAnsi="仿宋" w:cs="仿宋"/>
                <w:b/>
                <w:bCs/>
                <w:sz w:val="24"/>
                <w:szCs w:val="24"/>
                <w:highlight w:val="none"/>
                <w:lang w:eastAsia="zh-CN"/>
              </w:rPr>
              <w:t xml:space="preserve">描件</w:t>
            </w:r>
            <w:r>
              <w:rPr>
                <w:rFonts w:hint="eastAsia" w:ascii="仿宋" w:hAnsi="仿宋" w:cs="仿宋"/>
                <w:b/>
                <w:bCs/>
                <w:sz w:val="24"/>
                <w:szCs w:val="24"/>
                <w:highlight w:val="none"/>
              </w:rPr>
              <w:t xml:space="preserve">及开标前三个月</w:t>
            </w:r>
            <w:r>
              <w:rPr>
                <w:rFonts w:hint="eastAsia" w:ascii="仿宋" w:hAnsi="仿宋" w:cs="仿宋"/>
                <w:b/>
                <w:bCs/>
                <w:sz w:val="24"/>
                <w:szCs w:val="24"/>
                <w:highlight w:val="none"/>
                <w:lang w:val="en-US" w:eastAsia="zh-CN"/>
              </w:rPr>
              <w:t xml:space="preserve">中任意一个月</w:t>
            </w:r>
            <w:r>
              <w:rPr>
                <w:rFonts w:hint="eastAsia" w:ascii="仿宋" w:hAnsi="仿宋" w:cs="仿宋"/>
                <w:b/>
                <w:bCs/>
                <w:sz w:val="24"/>
                <w:szCs w:val="24"/>
                <w:highlight w:val="none"/>
              </w:rPr>
              <w:t xml:space="preserve">为其缴纳的社保证明材料扫描件并加盖响应单位公章，</w:t>
            </w:r>
            <w:r>
              <w:rPr>
                <w:rFonts w:hint="eastAsia" w:ascii="仿宋" w:hAnsi="仿宋" w:cs="仿宋"/>
                <w:b/>
                <w:bCs/>
                <w:sz w:val="24"/>
                <w:szCs w:val="24"/>
                <w:highlight w:val="none"/>
                <w:lang w:val="en-US" w:eastAsia="zh-CN"/>
              </w:rPr>
              <w:t xml:space="preserve">不提供</w:t>
            </w:r>
            <w:r>
              <w:rPr>
                <w:rFonts w:hint="eastAsia" w:ascii="仿宋" w:hAnsi="仿宋" w:cs="仿宋"/>
                <w:b/>
                <w:bCs/>
                <w:sz w:val="24"/>
                <w:szCs w:val="24"/>
                <w:highlight w:val="none"/>
              </w:rPr>
              <w:t xml:space="preserve">则不得分</w:t>
            </w:r>
            <w:r>
              <w:rPr>
                <w:rFonts w:hint="eastAsia" w:ascii="仿宋" w:hAnsi="仿宋" w:cs="仿宋"/>
                <w:b/>
                <w:bCs/>
                <w:sz w:val="24"/>
                <w:szCs w:val="24"/>
                <w:highlight w:val="none"/>
                <w:lang w:eastAsia="zh-CN"/>
              </w:rPr>
              <w:t xml:space="preserve">。</w:t>
            </w:r>
            <w:r>
              <w:rPr>
                <w:rFonts w:hint="eastAsia" w:ascii="宋体" w:hAnsi="宋体" w:cs="宋体"/>
                <w:sz w:val="24"/>
                <w:szCs w:val="24"/>
                <w:highlight w:val="none"/>
                <w:lang w:val="en-US" w:eastAsia="zh-CN" w:bidi="ar-SA"/>
              </w:rPr>
            </w:r>
            <w:r/>
          </w:p>
          <w:p>
            <w:pPr>
              <w:pStyle w:val="1081"/>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2、自2023年1月1日以来（时间以合同签订时间为准）承接类似项目（绿化养护服务）业绩的，有1个得2分，最高得2分。</w:t>
            </w:r>
            <w:r>
              <w:rPr>
                <w:rFonts w:hint="eastAsia" w:ascii="宋体" w:hAnsi="宋体" w:eastAsia="宋体" w:cs="宋体"/>
                <w:sz w:val="24"/>
                <w:szCs w:val="24"/>
                <w:highlight w:val="none"/>
                <w:lang w:val="en-US" w:eastAsia="zh-CN" w:bidi="ar-SA"/>
              </w:rPr>
            </w:r>
            <w:r/>
          </w:p>
          <w:p>
            <w:pPr>
              <w:pStyle w:val="1081"/>
              <w:numPr>
                <w:ilvl w:val="0"/>
                <w:numId w:val="0"/>
              </w:numPr>
              <w:ind w:firstLine="482"/>
              <w:jc w:val="left"/>
              <w:rPr>
                <w:rFonts w:hint="eastAsia" w:ascii="宋体" w:hAnsi="宋体" w:eastAsia="宋体" w:cs="宋体"/>
                <w:sz w:val="24"/>
                <w:szCs w:val="24"/>
                <w:highlight w:val="none"/>
                <w:lang w:val="en-US" w:eastAsia="zh-CN" w:bidi="ar-SA"/>
              </w:rPr>
            </w:pPr>
            <w:r>
              <w:rPr>
                <w:rFonts w:hint="eastAsia" w:ascii="仿宋" w:hAnsi="仿宋" w:cs="仿宋"/>
                <w:b/>
                <w:bCs/>
                <w:sz w:val="24"/>
                <w:szCs w:val="24"/>
                <w:highlight w:val="none"/>
              </w:rPr>
              <w:t xml:space="preserve">注：</w:t>
            </w:r>
            <w:r>
              <w:rPr>
                <w:rFonts w:hint="eastAsia" w:ascii="仿宋" w:hAnsi="仿宋" w:cs="仿宋"/>
                <w:b/>
                <w:bCs/>
                <w:sz w:val="24"/>
                <w:szCs w:val="24"/>
                <w:highlight w:val="none"/>
                <w:lang w:val="en-US" w:eastAsia="zh-CN"/>
              </w:rPr>
              <w:t xml:space="preserve">绿化管养</w:t>
            </w:r>
            <w:r>
              <w:rPr>
                <w:rFonts w:hint="eastAsia" w:ascii="仿宋" w:hAnsi="仿宋" w:cs="仿宋"/>
                <w:b/>
                <w:bCs/>
                <w:sz w:val="24"/>
                <w:szCs w:val="24"/>
                <w:highlight w:val="none"/>
              </w:rPr>
              <w:t xml:space="preserve">项目负责人业绩与企业业绩不可以重复得分。提供项目合同原件扫描件（以合同签订时间为准），加盖响应单位公章，不提供不得分</w:t>
            </w:r>
            <w:r>
              <w:rPr>
                <w:rFonts w:hint="eastAsia" w:ascii="仿宋" w:hAnsi="仿宋" w:cs="仿宋"/>
                <w:b/>
                <w:bCs/>
                <w:sz w:val="24"/>
                <w:szCs w:val="24"/>
                <w:highlight w:val="none"/>
                <w:lang w:eastAsia="zh-CN"/>
              </w:rPr>
              <w:t xml:space="preserve">。</w:t>
            </w:r>
            <w:r>
              <w:rPr>
                <w:rFonts w:hint="eastAsia" w:ascii="宋体" w:hAnsi="宋体" w:eastAsia="宋体" w:cs="宋体"/>
                <w:sz w:val="24"/>
                <w:szCs w:val="24"/>
                <w:highlight w:val="none"/>
                <w:lang w:val="en-US" w:eastAsia="zh-CN" w:bidi="ar-SA"/>
              </w:rPr>
            </w:r>
            <w:r/>
          </w:p>
        </w:tc>
        <w:tc>
          <w:tcPr>
            <w:tcW w:w="1900" w:type="dxa"/>
            <w:vAlign w:val="center"/>
            <w:textDirection w:val="lrTb"/>
            <w:noWrap w:val="false"/>
          </w:tcPr>
          <w:p>
            <w:pPr>
              <w:pStyle w:val="825"/>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W w:w="846" w:type="dxa"/>
            <w:vAlign w:val="center"/>
            <w:textDirection w:val="lrTb"/>
            <w:noWrap w:val="false"/>
          </w:tcPr>
          <w:p>
            <w:pPr>
              <w:pStyle w:val="825"/>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pStyle w:val="825"/>
              <w:jc w:val="center"/>
              <w:rPr>
                <w:rFonts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环卫保洁项目负责人业绩</w:t>
            </w:r>
            <w:r>
              <w:rPr>
                <w:rFonts w:ascii="宋体" w:hAnsi="宋体" w:cs="宋体"/>
                <w:sz w:val="24"/>
                <w:szCs w:val="24"/>
                <w:highlight w:val="none"/>
                <w:lang w:val="en-US" w:eastAsia="zh-CN" w:bidi="ar-SA"/>
              </w:rPr>
            </w:r>
            <w:r/>
          </w:p>
        </w:tc>
        <w:tc>
          <w:tcPr>
            <w:tcW w:w="795" w:type="dxa"/>
            <w:vAlign w:val="center"/>
            <w:textDirection w:val="lrTb"/>
            <w:noWrap w:val="false"/>
          </w:tcPr>
          <w:p>
            <w:pPr>
              <w:pStyle w:val="825"/>
              <w:jc w:val="center"/>
              <w:rPr>
                <w:rFonts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w:t>
            </w:r>
            <w:r>
              <w:rPr>
                <w:rFonts w:ascii="宋体" w:hAnsi="宋体" w:cs="宋体"/>
                <w:sz w:val="24"/>
                <w:szCs w:val="24"/>
                <w:highlight w:val="none"/>
                <w:lang w:val="en-US" w:eastAsia="zh-CN" w:bidi="ar-SA"/>
              </w:rPr>
            </w:r>
            <w:r/>
          </w:p>
        </w:tc>
        <w:tc>
          <w:tcPr>
            <w:tcW w:w="5036" w:type="dxa"/>
            <w:vAlign w:val="center"/>
            <w:textDirection w:val="lrTb"/>
            <w:noWrap w:val="false"/>
          </w:tcPr>
          <w:p>
            <w:pPr>
              <w:pStyle w:val="1081"/>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自2023年1月1日以来（时间以合同签订时间为准）承接类似项目（环卫保洁服务）业绩的，有1个得2分，最高得2分。</w:t>
            </w:r>
            <w:r>
              <w:rPr>
                <w:rFonts w:hint="eastAsia" w:ascii="宋体" w:hAnsi="宋体" w:eastAsia="宋体" w:cs="宋体"/>
                <w:sz w:val="24"/>
                <w:szCs w:val="24"/>
                <w:highlight w:val="none"/>
                <w:lang w:val="en-US" w:eastAsia="zh-CN" w:bidi="ar-SA"/>
              </w:rPr>
            </w:r>
            <w:r/>
          </w:p>
          <w:p>
            <w:pPr>
              <w:pStyle w:val="1081"/>
              <w:numPr>
                <w:ilvl w:val="0"/>
                <w:numId w:val="0"/>
              </w:numPr>
              <w:ind w:firstLine="482"/>
              <w:jc w:val="left"/>
              <w:rPr>
                <w:rFonts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注：环卫保洁项目负责人业绩与企业业绩不可以重复得分。提供项目合同</w:t>
            </w:r>
            <w:r>
              <w:rPr>
                <w:rFonts w:hint="eastAsia" w:ascii="宋体" w:hAnsi="宋体" w:cs="宋体"/>
                <w:b/>
                <w:bCs/>
                <w:sz w:val="24"/>
                <w:szCs w:val="24"/>
                <w:highlight w:val="none"/>
                <w:lang w:val="en-US" w:eastAsia="zh-CN" w:bidi="ar-SA"/>
              </w:rPr>
              <w:t xml:space="preserve">原件扫描</w:t>
            </w:r>
            <w:r>
              <w:rPr>
                <w:rFonts w:hint="eastAsia" w:ascii="宋体" w:hAnsi="宋体" w:eastAsia="宋体" w:cs="宋体"/>
                <w:b/>
                <w:bCs/>
                <w:sz w:val="24"/>
                <w:szCs w:val="24"/>
                <w:highlight w:val="none"/>
                <w:lang w:val="en-US" w:eastAsia="zh-CN" w:bidi="ar-SA"/>
              </w:rPr>
              <w:t xml:space="preserve">件（以合同签订时间为准），加盖响应单位公章，不提供不得分。</w:t>
            </w:r>
            <w:r>
              <w:rPr>
                <w:rFonts w:ascii="宋体" w:hAnsi="宋体" w:eastAsia="宋体" w:cs="宋体"/>
                <w:sz w:val="24"/>
                <w:szCs w:val="24"/>
                <w:highlight w:val="none"/>
                <w:lang w:val="en-US" w:eastAsia="zh-CN" w:bidi="ar-SA"/>
              </w:rPr>
            </w:r>
            <w:r/>
          </w:p>
        </w:tc>
        <w:tc>
          <w:tcPr>
            <w:tcW w:w="1900" w:type="dxa"/>
            <w:vAlign w:val="center"/>
            <w:textDirection w:val="lrTb"/>
            <w:noWrap w:val="false"/>
          </w:tcPr>
          <w:p>
            <w:pPr>
              <w:pStyle w:val="825"/>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tc>
      </w:tr>
      <w:tr>
        <w:trPr>
          <w:trHeight w:val="90"/>
        </w:trPr>
        <w:tc>
          <w:tcPr>
            <w:tcW w:w="846" w:type="dxa"/>
            <w:vAlign w:val="center"/>
            <w:textDirection w:val="lrTb"/>
            <w:noWrap w:val="false"/>
          </w:tcPr>
          <w:p>
            <w:pPr>
              <w:pStyle w:val="825"/>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2.6</w:t>
            </w:r>
            <w:r>
              <w:rPr>
                <w:rFonts w:ascii="宋体" w:hAnsi="宋体" w:eastAsia="宋体" w:cs="宋体"/>
                <w:sz w:val="24"/>
                <w:szCs w:val="24"/>
                <w:highlight w:val="none"/>
                <w:lang w:val="en-US" w:eastAsia="zh-CN" w:bidi="ar-SA"/>
              </w:rPr>
            </w:r>
            <w:r/>
          </w:p>
        </w:tc>
        <w:tc>
          <w:tcPr>
            <w:tcW w:w="1260" w:type="dxa"/>
            <w:vAlign w:val="center"/>
            <w:textDirection w:val="lrTb"/>
            <w:noWrap w:val="false"/>
          </w:tcPr>
          <w:p>
            <w:pPr>
              <w:pStyle w:val="825"/>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绿化管养项目组成员（除绿化管养负责人及环卫保洁项目负责人外）</w:t>
            </w:r>
            <w:r>
              <w:rPr>
                <w:rFonts w:ascii="宋体" w:hAnsi="宋体" w:eastAsia="宋体" w:cs="宋体"/>
                <w:sz w:val="24"/>
                <w:szCs w:val="24"/>
                <w:highlight w:val="none"/>
                <w:lang w:val="en-US" w:eastAsia="zh-CN" w:bidi="ar-SA"/>
              </w:rPr>
            </w:r>
            <w:r/>
          </w:p>
        </w:tc>
        <w:tc>
          <w:tcPr>
            <w:tcW w:w="795" w:type="dxa"/>
            <w:vAlign w:val="center"/>
            <w:textDirection w:val="lrTb"/>
            <w:noWrap w:val="false"/>
          </w:tcPr>
          <w:p>
            <w:pPr>
              <w:pStyle w:val="825"/>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10</w:t>
            </w:r>
            <w:r>
              <w:rPr>
                <w:rFonts w:ascii="宋体" w:hAnsi="宋体" w:eastAsia="宋体" w:cs="宋体"/>
                <w:sz w:val="24"/>
                <w:szCs w:val="24"/>
                <w:highlight w:val="none"/>
                <w:lang w:val="en-US" w:eastAsia="zh-CN" w:bidi="ar-SA"/>
              </w:rPr>
            </w:r>
            <w:r/>
          </w:p>
        </w:tc>
        <w:tc>
          <w:tcPr>
            <w:tcW w:w="5036" w:type="dxa"/>
            <w:vAlign w:val="center"/>
            <w:textDirection w:val="lrTb"/>
            <w:noWrap w:val="false"/>
          </w:tcPr>
          <w:p>
            <w:pPr>
              <w:pStyle w:val="1081"/>
              <w:ind w:firstLine="480"/>
              <w:jc w:val="lef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1、拟派绿化管养项目组成员（除绿化管养负责人及环卫保洁项目负责人外）具有人力资源和社会保障部</w:t>
            </w:r>
            <w:r>
              <w:rPr>
                <w:rFonts w:hint="eastAsia" w:ascii="宋体" w:hAnsi="宋体" w:cs="宋体"/>
                <w:sz w:val="24"/>
                <w:szCs w:val="24"/>
                <w:highlight w:val="none"/>
                <w:lang w:val="en-US" w:eastAsia="zh-CN" w:bidi="ar-SA"/>
              </w:rPr>
              <w:t xml:space="preserve">颁发的</w:t>
            </w:r>
            <w:r>
              <w:rPr>
                <w:rFonts w:hint="eastAsia" w:ascii="宋体" w:hAnsi="宋体" w:eastAsia="宋体" w:cs="宋体"/>
                <w:sz w:val="24"/>
                <w:szCs w:val="24"/>
                <w:highlight w:val="none"/>
                <w:lang w:val="en-US" w:eastAsia="zh-CN" w:bidi="ar-SA"/>
              </w:rPr>
              <w:t xml:space="preserve">中级绿化工证书的，得1分；具有高级绿化工证书的，得2分，最高得2分，限评一人</w:t>
            </w:r>
            <w:r>
              <w:rPr>
                <w:rFonts w:hint="eastAsia" w:ascii="宋体" w:hAnsi="宋体" w:cs="宋体"/>
                <w:sz w:val="24"/>
                <w:szCs w:val="24"/>
                <w:highlight w:val="none"/>
                <w:lang w:val="en-US" w:eastAsia="zh-CN" w:bidi="ar-SA"/>
              </w:rPr>
              <w:t xml:space="preserve">。</w:t>
            </w:r>
            <w:r>
              <w:rPr>
                <w:rFonts w:ascii="宋体" w:hAnsi="宋体" w:eastAsia="宋体" w:cs="宋体"/>
                <w:sz w:val="24"/>
                <w:szCs w:val="24"/>
                <w:highlight w:val="none"/>
                <w:lang w:val="en-US" w:eastAsia="zh-CN" w:bidi="ar-SA"/>
              </w:rPr>
            </w:r>
            <w:r/>
          </w:p>
          <w:p>
            <w:pPr>
              <w:pStyle w:val="1081"/>
              <w:ind w:firstLine="480"/>
              <w:jc w:val="left"/>
              <w:rPr>
                <w:rFonts w:hint="eastAsia" w:ascii="宋体" w:hAnsi="宋体" w:eastAsia="宋体" w:cs="宋体"/>
                <w:sz w:val="24"/>
                <w:szCs w:val="24"/>
                <w:highlight w:val="none"/>
                <w:lang w:val="zh-TW" w:eastAsia="zh-CN" w:bidi="ar-SA"/>
              </w:rPr>
            </w:pPr>
            <w:r>
              <w:rPr>
                <w:rFonts w:hint="eastAsia" w:ascii="宋体" w:hAnsi="宋体" w:eastAsia="宋体" w:cs="宋体"/>
                <w:sz w:val="24"/>
                <w:szCs w:val="24"/>
                <w:highlight w:val="none"/>
                <w:lang w:val="en-US" w:eastAsia="zh-CN" w:bidi="ar-SA"/>
              </w:rPr>
              <w:t xml:space="preserve">2、拟派绿化管养项目组成员（（除绿化管养负责人及环卫保洁项目负责人外）具有</w:t>
            </w:r>
            <w:r>
              <w:rPr>
                <w:rFonts w:hint="eastAsia" w:ascii="宋体" w:hAnsi="宋体" w:eastAsia="宋体" w:cs="宋体"/>
                <w:sz w:val="24"/>
                <w:szCs w:val="24"/>
                <w:highlight w:val="none"/>
                <w:lang w:val="en-US" w:eastAsia="zh-CN" w:bidi="ar-SA"/>
              </w:rPr>
              <w:t xml:space="preserve">人力资源和社会保障部</w:t>
            </w:r>
            <w:r>
              <w:rPr>
                <w:rFonts w:hint="eastAsia" w:ascii="宋体" w:hAnsi="宋体" w:cs="宋体"/>
                <w:sz w:val="24"/>
                <w:szCs w:val="24"/>
                <w:highlight w:val="none"/>
                <w:lang w:val="en-US" w:eastAsia="zh-CN" w:bidi="ar-SA"/>
              </w:rPr>
              <w:t xml:space="preserve">颁发的</w:t>
            </w:r>
            <w:r>
              <w:rPr>
                <w:rFonts w:hint="eastAsia" w:ascii="宋体" w:hAnsi="宋体" w:eastAsia="宋体" w:cs="宋体"/>
                <w:sz w:val="24"/>
                <w:szCs w:val="24"/>
                <w:highlight w:val="none"/>
                <w:lang w:val="en-US" w:eastAsia="zh-CN" w:bidi="ar-SA"/>
              </w:rPr>
              <w:t xml:space="preserve">花卉园艺师中级工证书的，得1分；具有花卉园艺师高级工证书的，得2分，最高得2分。限评一人</w:t>
            </w:r>
            <w:r>
              <w:rPr>
                <w:rFonts w:hint="eastAsia" w:ascii="宋体" w:hAnsi="宋体" w:eastAsia="宋体" w:cs="宋体"/>
                <w:sz w:val="24"/>
                <w:szCs w:val="24"/>
                <w:highlight w:val="none"/>
                <w:lang w:val="zh-TW" w:eastAsia="zh-CN" w:bidi="ar-SA"/>
              </w:rPr>
              <w:t xml:space="preserve">。</w:t>
            </w:r>
            <w:r>
              <w:rPr>
                <w:rFonts w:hint="eastAsia" w:ascii="宋体" w:hAnsi="宋体" w:eastAsia="宋体" w:cs="宋体"/>
                <w:sz w:val="24"/>
                <w:szCs w:val="24"/>
                <w:highlight w:val="none"/>
                <w:lang w:val="zh-TW" w:eastAsia="zh-CN" w:bidi="ar-SA"/>
              </w:rPr>
            </w:r>
            <w:r/>
          </w:p>
          <w:p>
            <w:pPr>
              <w:pStyle w:val="1081"/>
              <w:ind w:firstLine="480"/>
              <w:jc w:val="left"/>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拟派绿化管养项目组成员（除绿化管养负责人及环卫保洁项目负责人外）具有</w:t>
            </w:r>
            <w:r>
              <w:rPr>
                <w:rFonts w:hint="eastAsia" w:ascii="宋体" w:hAnsi="宋体" w:eastAsia="宋体" w:cs="宋体"/>
                <w:sz w:val="24"/>
                <w:szCs w:val="24"/>
                <w:highlight w:val="none"/>
                <w:lang w:val="en-US" w:eastAsia="zh-CN" w:bidi="ar-SA"/>
              </w:rPr>
              <w:t xml:space="preserve">人力资源和社会保障部或国家林草局</w:t>
            </w:r>
            <w:r>
              <w:rPr>
                <w:rFonts w:hint="eastAsia" w:ascii="宋体" w:hAnsi="宋体" w:cs="宋体"/>
                <w:sz w:val="24"/>
                <w:szCs w:val="24"/>
                <w:highlight w:val="none"/>
                <w:lang w:val="en-US" w:eastAsia="zh-CN" w:bidi="ar-SA"/>
              </w:rPr>
              <w:t xml:space="preserve">颁发的</w:t>
            </w:r>
            <w:r>
              <w:rPr>
                <w:rFonts w:hint="eastAsia" w:ascii="宋体" w:hAnsi="宋体" w:cs="宋体"/>
                <w:sz w:val="24"/>
                <w:szCs w:val="24"/>
                <w:highlight w:val="none"/>
                <w:lang w:val="en-US" w:eastAsia="zh-CN" w:bidi="ar-SA"/>
              </w:rPr>
              <w:t xml:space="preserve">林木种苗或林草种苗中级工证书的，得1分；具有林木种苗</w:t>
            </w:r>
            <w:r>
              <w:rPr>
                <w:rFonts w:hint="eastAsia" w:ascii="宋体" w:hAnsi="宋体" w:cs="宋体"/>
                <w:sz w:val="24"/>
                <w:szCs w:val="24"/>
                <w:highlight w:val="none"/>
                <w:lang w:val="en-US" w:eastAsia="zh-CN" w:bidi="ar-SA"/>
              </w:rPr>
              <w:t xml:space="preserve">或林草种苗</w:t>
            </w:r>
            <w:r>
              <w:rPr>
                <w:rFonts w:hint="eastAsia" w:ascii="宋体" w:hAnsi="宋体" w:cs="宋体"/>
                <w:sz w:val="24"/>
                <w:szCs w:val="24"/>
                <w:highlight w:val="none"/>
                <w:lang w:val="en-US" w:eastAsia="zh-CN" w:bidi="ar-SA"/>
              </w:rPr>
              <w:t xml:space="preserve">高级工证书的，得2分，最高得2分。限评一人。</w:t>
            </w:r>
            <w:r>
              <w:rPr>
                <w:rFonts w:hint="eastAsia" w:ascii="宋体" w:hAnsi="宋体" w:cs="宋体"/>
                <w:sz w:val="24"/>
                <w:szCs w:val="24"/>
                <w:highlight w:val="none"/>
                <w:lang w:val="en-US" w:eastAsia="zh-CN" w:bidi="ar-SA"/>
              </w:rPr>
            </w:r>
            <w:r/>
          </w:p>
          <w:p>
            <w:pPr>
              <w:pStyle w:val="1081"/>
              <w:ind w:firstLine="482"/>
              <w:jc w:val="lef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以上1、2、3中项目组成员，同一人员不可累积计算得分。</w:t>
            </w:r>
            <w:r>
              <w:rPr>
                <w:rFonts w:hint="eastAsia" w:ascii="宋体" w:hAnsi="宋体" w:eastAsia="宋体" w:cs="宋体"/>
                <w:b/>
                <w:bCs/>
                <w:sz w:val="24"/>
                <w:szCs w:val="24"/>
                <w:highlight w:val="none"/>
                <w:lang w:val="en-US" w:eastAsia="zh-CN" w:bidi="ar-SA"/>
              </w:rPr>
            </w:r>
            <w:r/>
          </w:p>
          <w:p>
            <w:pPr>
              <w:pStyle w:val="1081"/>
              <w:ind w:firstLine="480"/>
              <w:jc w:val="left"/>
              <w:rPr>
                <w:rFonts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w:t>
            </w:r>
            <w:r>
              <w:rPr>
                <w:rFonts w:ascii="宋体" w:hAnsi="宋体" w:eastAsia="宋体" w:cs="宋体"/>
                <w:b w:val="0"/>
                <w:bCs w:val="0"/>
                <w:sz w:val="24"/>
                <w:szCs w:val="24"/>
                <w:highlight w:val="none"/>
                <w:lang w:val="en-US" w:eastAsia="zh-CN" w:bidi="ar-SA"/>
              </w:rPr>
              <w:t xml:space="preserve">、拟派绿化管养项目组成员（除绿化管养负责人及环卫保洁项目负责人外）具有应急管理部门颁发的有效《特种作业操作证》（作业类别含‘高处作业’）</w:t>
            </w:r>
            <w:r>
              <w:rPr>
                <w:rFonts w:hint="eastAsia" w:ascii="宋体" w:hAnsi="宋体" w:eastAsia="宋体" w:cs="宋体"/>
                <w:b w:val="0"/>
                <w:bCs w:val="0"/>
                <w:sz w:val="24"/>
                <w:szCs w:val="24"/>
                <w:highlight w:val="none"/>
                <w:lang w:val="en-US" w:eastAsia="zh-CN" w:bidi="ar-SA"/>
              </w:rPr>
              <w:t xml:space="preserve">的有一个</w:t>
            </w:r>
            <w:r>
              <w:rPr>
                <w:rFonts w:ascii="宋体" w:hAnsi="宋体" w:eastAsia="宋体" w:cs="宋体"/>
                <w:b w:val="0"/>
                <w:bCs w:val="0"/>
                <w:sz w:val="24"/>
                <w:szCs w:val="24"/>
                <w:highlight w:val="none"/>
                <w:lang w:val="en-US" w:eastAsia="zh-CN" w:bidi="ar-SA"/>
              </w:rPr>
              <w:t xml:space="preserve">得2分，最高得4分。</w:t>
            </w:r>
            <w:r>
              <w:rPr>
                <w:rFonts w:ascii="宋体" w:hAnsi="宋体" w:eastAsia="宋体" w:cs="宋体"/>
                <w:b w:val="0"/>
                <w:bCs w:val="0"/>
                <w:sz w:val="24"/>
                <w:szCs w:val="24"/>
                <w:highlight w:val="none"/>
                <w:lang w:val="en-US" w:eastAsia="zh-CN" w:bidi="ar-SA"/>
              </w:rPr>
            </w:r>
            <w:r/>
          </w:p>
          <w:p>
            <w:pPr>
              <w:pStyle w:val="1081"/>
              <w:ind w:firstLine="482"/>
              <w:jc w:val="left"/>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注：提供相关证书扫描</w:t>
            </w:r>
            <w:r>
              <w:rPr>
                <w:rFonts w:hint="eastAsia" w:ascii="宋体" w:hAnsi="宋体" w:cs="宋体"/>
                <w:b/>
                <w:bCs/>
                <w:sz w:val="24"/>
                <w:szCs w:val="24"/>
                <w:highlight w:val="none"/>
                <w:lang w:val="en-US" w:eastAsia="zh-CN" w:bidi="ar-SA"/>
              </w:rPr>
              <w:t xml:space="preserve">或</w:t>
            </w:r>
            <w:r>
              <w:rPr>
                <w:rFonts w:hint="eastAsia" w:ascii="宋体" w:hAnsi="宋体" w:eastAsia="宋体" w:cs="宋体"/>
                <w:b/>
                <w:bCs/>
                <w:sz w:val="24"/>
                <w:szCs w:val="24"/>
                <w:highlight w:val="none"/>
                <w:lang w:val="en-US" w:eastAsia="zh-CN" w:bidi="ar-SA"/>
              </w:rPr>
              <w:t xml:space="preserve">官方网站查询截图</w:t>
            </w:r>
            <w:r>
              <w:rPr>
                <w:rFonts w:hint="eastAsia" w:ascii="宋体" w:hAnsi="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及开标前三个月</w:t>
            </w:r>
            <w:r>
              <w:rPr>
                <w:rFonts w:hint="eastAsia" w:ascii="仿宋" w:hAnsi="仿宋" w:cs="仿宋"/>
                <w:b/>
                <w:bCs/>
                <w:sz w:val="24"/>
                <w:szCs w:val="24"/>
                <w:highlight w:val="none"/>
                <w:lang w:val="en-US" w:eastAsia="zh-CN"/>
              </w:rPr>
              <w:t xml:space="preserve">中任意一个月</w:t>
            </w:r>
            <w:r>
              <w:rPr>
                <w:rFonts w:hint="eastAsia" w:ascii="宋体" w:hAnsi="宋体" w:eastAsia="宋体" w:cs="宋体"/>
                <w:b/>
                <w:bCs/>
                <w:sz w:val="24"/>
                <w:szCs w:val="24"/>
                <w:highlight w:val="none"/>
                <w:lang w:val="en-US" w:eastAsia="zh-CN" w:bidi="ar-SA"/>
              </w:rPr>
              <w:t xml:space="preserve">为其缴纳的社保证明材料扫描件并加盖响应单位公章，不提供则不得分</w:t>
            </w:r>
            <w:r>
              <w:rPr>
                <w:rFonts w:hint="eastAsia" w:ascii="仿宋" w:hAnsi="仿宋" w:cs="仿宋"/>
                <w:b/>
                <w:bCs/>
                <w:sz w:val="24"/>
                <w:szCs w:val="24"/>
                <w:highlight w:val="none"/>
                <w:lang w:eastAsia="zh-CN"/>
              </w:rPr>
              <w:t xml:space="preserve">。</w:t>
            </w:r>
            <w:r>
              <w:rPr>
                <w:rFonts w:hint="eastAsia" w:ascii="宋体" w:hAnsi="宋体" w:eastAsia="宋体" w:cs="宋体"/>
                <w:sz w:val="24"/>
                <w:szCs w:val="24"/>
                <w:highlight w:val="none"/>
                <w:lang w:val="en-US" w:eastAsia="zh-CN" w:bidi="ar-SA"/>
              </w:rPr>
            </w:r>
            <w:r/>
          </w:p>
        </w:tc>
        <w:tc>
          <w:tcPr>
            <w:tcW w:w="1900" w:type="dxa"/>
            <w:vAlign w:val="center"/>
            <w:textDirection w:val="lrTb"/>
            <w:noWrap w:val="false"/>
          </w:tcPr>
          <w:p>
            <w:pPr>
              <w:pStyle w:val="825"/>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r>
            <w:r/>
          </w:p>
        </w:tc>
      </w:tr>
      <w:tr>
        <w:trPr>
          <w:trHeight w:val="90"/>
        </w:trPr>
        <w:tc>
          <w:tcPr>
            <w:tcW w:w="846" w:type="dxa"/>
            <w:vAlign w:val="center"/>
            <w:textDirection w:val="lrTb"/>
            <w:noWrap w:val="false"/>
          </w:tcPr>
          <w:p>
            <w:pPr>
              <w:pStyle w:val="825"/>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2.7</w:t>
            </w:r>
            <w:r>
              <w:rPr>
                <w:rFonts w:ascii="宋体" w:hAnsi="宋体" w:eastAsia="宋体" w:cs="宋体"/>
                <w:sz w:val="24"/>
                <w:szCs w:val="24"/>
                <w:highlight w:val="none"/>
                <w:lang w:val="en-US" w:eastAsia="zh-CN" w:bidi="ar-SA"/>
              </w:rPr>
            </w:r>
            <w:r/>
          </w:p>
        </w:tc>
        <w:tc>
          <w:tcPr>
            <w:tcW w:w="1260" w:type="dxa"/>
            <w:vAlign w:val="center"/>
            <w:textDirection w:val="lrTb"/>
            <w:noWrap w:val="false"/>
          </w:tcPr>
          <w:p>
            <w:pPr>
              <w:pStyle w:val="825"/>
              <w:jc w:val="center"/>
              <w:spacing w:line="300" w:lineRule="exact"/>
              <w:rPr>
                <w:rFonts w:hint="eastAsia" w:ascii="新宋体" w:hAnsi="新宋体" w:eastAsia="宋体" w:cs="新宋体"/>
                <w:color w:val="000000"/>
                <w:sz w:val="21"/>
                <w:szCs w:val="21"/>
                <w:highlight w:val="none"/>
                <w:lang w:val="en-US" w:eastAsia="zh-CN" w:bidi="ar-SA"/>
              </w:rPr>
            </w:pPr>
            <w:r>
              <w:rPr>
                <w:rFonts w:hint="eastAsia" w:ascii="宋体" w:hAnsi="宋体" w:eastAsia="宋体" w:cs="宋体"/>
                <w:color w:val="000000"/>
                <w:sz w:val="24"/>
                <w:szCs w:val="24"/>
                <w:highlight w:val="none"/>
              </w:rPr>
              <w:t xml:space="preserve">拟投入设备</w:t>
            </w:r>
            <w:r>
              <w:rPr>
                <w:rFonts w:hint="eastAsia" w:ascii="新宋体" w:hAnsi="新宋体" w:eastAsia="宋体" w:cs="新宋体"/>
                <w:color w:val="000000"/>
                <w:sz w:val="21"/>
                <w:szCs w:val="21"/>
                <w:highlight w:val="none"/>
                <w:lang w:val="en-US" w:eastAsia="zh-CN" w:bidi="ar-SA"/>
              </w:rPr>
            </w:r>
            <w:r/>
          </w:p>
        </w:tc>
        <w:tc>
          <w:tcPr>
            <w:tcW w:w="795" w:type="dxa"/>
            <w:vAlign w:val="center"/>
            <w:textDirection w:val="lrTb"/>
            <w:noWrap w:val="false"/>
          </w:tcPr>
          <w:p>
            <w:pPr>
              <w:pStyle w:val="825"/>
              <w:jc w:val="center"/>
              <w:spacing w:line="300" w:lineRule="exact"/>
              <w:rPr>
                <w:rFonts w:hint="eastAsia" w:eastAsia="宋体"/>
                <w:color w:val="000000"/>
                <w:sz w:val="21"/>
                <w:szCs w:val="21"/>
                <w:highlight w:val="none"/>
                <w:lang w:val="en-US" w:eastAsia="zh-CN" w:bidi="ar-SA"/>
              </w:rPr>
            </w:pPr>
            <w:r>
              <w:rPr>
                <w:rFonts w:hint="eastAsia" w:ascii="宋体" w:hAnsi="宋体" w:eastAsia="宋体" w:cs="宋体"/>
                <w:color w:val="000000"/>
                <w:sz w:val="24"/>
                <w:szCs w:val="24"/>
                <w:highlight w:val="none"/>
                <w:lang w:val="en-US" w:eastAsia="zh-CN"/>
              </w:rPr>
              <w:t xml:space="preserve">4</w:t>
            </w:r>
            <w:r>
              <w:rPr>
                <w:rFonts w:hint="eastAsia" w:eastAsia="宋体"/>
                <w:color w:val="000000"/>
                <w:sz w:val="21"/>
                <w:szCs w:val="21"/>
                <w:highlight w:val="none"/>
                <w:lang w:val="en-US" w:eastAsia="zh-CN" w:bidi="ar-SA"/>
              </w:rPr>
            </w:r>
            <w:r/>
          </w:p>
        </w:tc>
        <w:tc>
          <w:tcPr>
            <w:tcW w:w="5036" w:type="dxa"/>
            <w:vAlign w:val="center"/>
            <w:textDirection w:val="lrTb"/>
            <w:noWrap w:val="false"/>
          </w:tcPr>
          <w:p>
            <w:pPr>
              <w:pStyle w:val="1081"/>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zh-CN" w:eastAsia="zh-CN" w:bidi="ar-SA"/>
              </w:rPr>
              <w:t xml:space="preserve">）供应商</w:t>
            </w:r>
            <w:r>
              <w:rPr>
                <w:rFonts w:hint="eastAsia" w:ascii="宋体" w:hAnsi="宋体" w:eastAsia="宋体" w:cs="宋体"/>
                <w:sz w:val="24"/>
                <w:szCs w:val="24"/>
                <w:highlight w:val="none"/>
                <w:lang w:val="en-US" w:eastAsia="zh-CN" w:bidi="ar-SA"/>
              </w:rPr>
              <w:t xml:space="preserve">为本项目配备基质加工设备：1台大型树枝粉碎机；1台基质设备；1套辅助料仓。有1台得1分，相同设备不重复得分，本项最高得3分。</w:t>
            </w:r>
            <w:r>
              <w:rPr>
                <w:rFonts w:hint="eastAsia" w:ascii="宋体" w:hAnsi="宋体" w:eastAsia="宋体" w:cs="宋体"/>
                <w:sz w:val="24"/>
                <w:szCs w:val="24"/>
                <w:highlight w:val="none"/>
                <w:lang w:val="en-US" w:eastAsia="zh-CN" w:bidi="ar-SA"/>
              </w:rPr>
            </w:r>
            <w:r/>
          </w:p>
          <w:p>
            <w:pPr>
              <w:pStyle w:val="1081"/>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（2）为本项目配备打包机（包装系统能力:自动打包，包装范围≥25kg）：有1台得1分，本项最高得1分。</w:t>
            </w:r>
            <w:r>
              <w:rPr>
                <w:rFonts w:hint="eastAsia" w:ascii="宋体" w:hAnsi="宋体" w:eastAsia="宋体" w:cs="宋体"/>
                <w:sz w:val="24"/>
                <w:szCs w:val="24"/>
                <w:highlight w:val="none"/>
                <w:lang w:val="en-US" w:eastAsia="zh-CN" w:bidi="ar-SA"/>
              </w:rPr>
            </w:r>
            <w:r/>
          </w:p>
          <w:p>
            <w:pPr>
              <w:pStyle w:val="1081"/>
              <w:ind w:firstLine="482"/>
              <w:jc w:val="left"/>
              <w:rPr>
                <w:rFonts w:hint="eastAsia" w:ascii="新宋体" w:hAnsi="新宋体" w:eastAsia="新宋体" w:cs="新宋体"/>
                <w:color w:val="000000"/>
                <w:sz w:val="21"/>
                <w:szCs w:val="21"/>
                <w:highlight w:val="none"/>
                <w:lang w:val="en-US" w:eastAsia="zh-CN" w:bidi="ar-SA"/>
              </w:rPr>
            </w:pPr>
            <w:r>
              <w:rPr>
                <w:rFonts w:hint="eastAsia" w:ascii="宋体" w:hAnsi="宋体" w:eastAsia="宋体" w:cs="宋体"/>
                <w:b/>
                <w:bCs/>
                <w:sz w:val="24"/>
                <w:szCs w:val="24"/>
                <w:highlight w:val="none"/>
                <w:lang w:val="en-US" w:eastAsia="zh-CN" w:bidi="ar-SA"/>
              </w:rPr>
              <w:t xml:space="preserve">注：供应商需提供设备发票扫描件（购置发票上的所有人名称必须与</w:t>
            </w:r>
            <w:r>
              <w:rPr>
                <w:rFonts w:hint="eastAsia" w:ascii="宋体" w:hAnsi="宋体" w:eastAsia="宋体" w:cs="宋体"/>
                <w:b/>
                <w:bCs/>
                <w:sz w:val="24"/>
                <w:szCs w:val="24"/>
                <w:highlight w:val="none"/>
                <w:lang w:val="zh-CN" w:eastAsia="zh-CN" w:bidi="ar-SA"/>
              </w:rPr>
              <w:t xml:space="preserve">供应商</w:t>
            </w:r>
            <w:r>
              <w:rPr>
                <w:rFonts w:hint="eastAsia" w:ascii="宋体" w:hAnsi="宋体" w:eastAsia="宋体" w:cs="宋体"/>
                <w:b/>
                <w:bCs/>
                <w:sz w:val="24"/>
                <w:szCs w:val="24"/>
                <w:highlight w:val="none"/>
                <w:lang w:val="en-US" w:eastAsia="zh-CN" w:bidi="ar-SA"/>
              </w:rPr>
              <w:t xml:space="preserve">名称一致），未按要求提供的不得分。若设备为租赁的，还须另行提供租赁协议扫描件，购置发票与出租方名称一致。不提供不得分。</w:t>
            </w:r>
            <w:r>
              <w:rPr>
                <w:rFonts w:hint="eastAsia" w:ascii="新宋体" w:hAnsi="新宋体" w:eastAsia="新宋体" w:cs="新宋体"/>
                <w:color w:val="000000"/>
                <w:sz w:val="21"/>
                <w:szCs w:val="21"/>
                <w:highlight w:val="none"/>
                <w:lang w:val="en-US" w:eastAsia="zh-CN" w:bidi="ar-SA"/>
              </w:rPr>
            </w:r>
            <w:r/>
          </w:p>
        </w:tc>
        <w:tc>
          <w:tcPr>
            <w:tcW w:w="1900" w:type="dxa"/>
            <w:vAlign w:val="center"/>
            <w:textDirection w:val="lrTb"/>
            <w:noWrap w:val="false"/>
          </w:tcPr>
          <w:p>
            <w:pPr>
              <w:pStyle w:val="825"/>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30"/>
        </w:trPr>
        <w:tc>
          <w:tcPr>
            <w:tcW w:w="846" w:type="dxa"/>
            <w:vAlign w:val="center"/>
            <w:textDirection w:val="lrTb"/>
            <w:noWrap w:val="false"/>
          </w:tcPr>
          <w:p>
            <w:pPr>
              <w:pStyle w:val="825"/>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2.8</w:t>
            </w:r>
            <w:r>
              <w:rPr>
                <w:rFonts w:ascii="宋体" w:hAnsi="宋体" w:eastAsia="宋体" w:cs="宋体"/>
                <w:sz w:val="24"/>
                <w:szCs w:val="24"/>
                <w:highlight w:val="none"/>
                <w:lang w:val="en-US" w:eastAsia="zh-CN" w:bidi="ar-SA"/>
              </w:rPr>
            </w:r>
            <w:r/>
          </w:p>
        </w:tc>
        <w:tc>
          <w:tcPr>
            <w:tcW w:w="1260" w:type="dxa"/>
            <w:vAlign w:val="center"/>
            <w:textDirection w:val="lrTb"/>
            <w:noWrap w:val="false"/>
          </w:tcPr>
          <w:p>
            <w:pPr>
              <w:pStyle w:val="825"/>
              <w:jc w:val="center"/>
              <w:spacing w:line="300" w:lineRule="exact"/>
              <w:rPr>
                <w:rFonts w:hint="eastAsia" w:ascii="新宋体" w:hAnsi="新宋体" w:eastAsia="新宋体" w:cs="新宋体"/>
                <w:color w:val="000000"/>
                <w:sz w:val="21"/>
                <w:szCs w:val="21"/>
                <w:highlight w:val="none"/>
                <w:lang w:val="en-US" w:eastAsia="zh-CN" w:bidi="ar-SA"/>
              </w:rPr>
            </w:pPr>
            <w:r>
              <w:rPr>
                <w:rFonts w:hint="eastAsia" w:ascii="宋体" w:hAnsi="宋体" w:eastAsia="宋体" w:cs="宋体"/>
                <w:color w:val="000000"/>
                <w:sz w:val="24"/>
                <w:szCs w:val="24"/>
                <w:highlight w:val="none"/>
              </w:rPr>
              <w:t xml:space="preserve">拟投入</w:t>
            </w:r>
            <w:r>
              <w:rPr>
                <w:rFonts w:hint="eastAsia" w:ascii="宋体" w:hAnsi="宋体" w:eastAsia="宋体" w:cs="宋体"/>
                <w:color w:val="000000"/>
                <w:sz w:val="24"/>
                <w:szCs w:val="24"/>
                <w:highlight w:val="none"/>
                <w:lang w:val="en-US" w:eastAsia="zh-CN"/>
              </w:rPr>
              <w:t xml:space="preserve">车辆</w:t>
            </w:r>
            <w:r>
              <w:rPr>
                <w:rFonts w:hint="eastAsia" w:ascii="新宋体" w:hAnsi="新宋体" w:eastAsia="新宋体" w:cs="新宋体"/>
                <w:color w:val="000000"/>
                <w:sz w:val="21"/>
                <w:szCs w:val="21"/>
                <w:highlight w:val="none"/>
                <w:lang w:val="en-US" w:eastAsia="zh-CN" w:bidi="ar-SA"/>
              </w:rPr>
            </w:r>
            <w:r/>
          </w:p>
        </w:tc>
        <w:tc>
          <w:tcPr>
            <w:tcW w:w="795" w:type="dxa"/>
            <w:vAlign w:val="center"/>
            <w:textDirection w:val="lrTb"/>
            <w:noWrap w:val="false"/>
          </w:tcPr>
          <w:p>
            <w:pPr>
              <w:pStyle w:val="825"/>
              <w:jc w:val="center"/>
              <w:spacing w:line="300" w:lineRule="exact"/>
              <w:rPr>
                <w:color w:val="000000"/>
                <w:sz w:val="21"/>
                <w:szCs w:val="21"/>
                <w:highlight w:val="none"/>
                <w:lang w:val="en-US" w:eastAsia="zh-CN" w:bidi="ar-SA"/>
              </w:rPr>
            </w:pPr>
            <w:r>
              <w:rPr>
                <w:rFonts w:hint="eastAsia" w:ascii="宋体" w:hAnsi="宋体" w:eastAsia="宋体" w:cs="宋体"/>
                <w:color w:val="000000"/>
                <w:sz w:val="24"/>
                <w:szCs w:val="24"/>
                <w:highlight w:val="none"/>
                <w:lang w:val="en-US" w:eastAsia="zh-CN"/>
              </w:rPr>
              <w:t xml:space="preserve">10</w:t>
            </w:r>
            <w:r>
              <w:rPr>
                <w:color w:val="000000"/>
                <w:sz w:val="21"/>
                <w:szCs w:val="21"/>
                <w:highlight w:val="none"/>
                <w:lang w:val="en-US" w:eastAsia="zh-CN" w:bidi="ar-SA"/>
              </w:rPr>
            </w:r>
            <w:r/>
          </w:p>
        </w:tc>
        <w:tc>
          <w:tcPr>
            <w:tcW w:w="5036" w:type="dxa"/>
            <w:vAlign w:val="center"/>
            <w:textDirection w:val="lrTb"/>
            <w:noWrap w:val="false"/>
          </w:tcPr>
          <w:p>
            <w:pPr>
              <w:pStyle w:val="1081"/>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（1）供应商为本项目配备雾炮车，每有1辆得1分，最高得2分；</w:t>
            </w:r>
            <w:r>
              <w:rPr>
                <w:rFonts w:hint="eastAsia" w:ascii="宋体" w:hAnsi="宋体" w:eastAsia="宋体" w:cs="宋体"/>
                <w:sz w:val="24"/>
                <w:szCs w:val="24"/>
                <w:highlight w:val="none"/>
                <w:lang w:val="en-US" w:eastAsia="zh-CN" w:bidi="ar-SA"/>
              </w:rPr>
            </w:r>
            <w:r/>
          </w:p>
          <w:p>
            <w:pPr>
              <w:pStyle w:val="1081"/>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（2）供应商为本项目配备洒水车，每有1辆得1分，最高得2分；</w:t>
            </w:r>
            <w:r>
              <w:rPr>
                <w:rFonts w:hint="eastAsia" w:ascii="宋体" w:hAnsi="宋体" w:eastAsia="宋体" w:cs="宋体"/>
                <w:sz w:val="24"/>
                <w:szCs w:val="24"/>
                <w:highlight w:val="none"/>
                <w:lang w:val="en-US" w:eastAsia="zh-CN" w:bidi="ar-SA"/>
              </w:rPr>
            </w:r>
            <w:r/>
          </w:p>
          <w:p>
            <w:pPr>
              <w:pStyle w:val="1081"/>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（3）供应商为本项目配备运输车辆的，每有1辆得1分，最高得2分；</w:t>
            </w:r>
            <w:r>
              <w:rPr>
                <w:rFonts w:hint="eastAsia" w:ascii="宋体" w:hAnsi="宋体" w:eastAsia="宋体" w:cs="宋体"/>
                <w:sz w:val="24"/>
                <w:szCs w:val="24"/>
                <w:highlight w:val="none"/>
                <w:lang w:val="en-US" w:eastAsia="zh-CN" w:bidi="ar-SA"/>
              </w:rPr>
            </w:r>
            <w:r/>
          </w:p>
          <w:p>
            <w:pPr>
              <w:pStyle w:val="1081"/>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（4）供应商为本项目配备登高作业车，每有1辆得1分，最高得1分；</w:t>
            </w:r>
            <w:r>
              <w:rPr>
                <w:rFonts w:hint="eastAsia" w:ascii="宋体" w:hAnsi="宋体" w:eastAsia="宋体" w:cs="宋体"/>
                <w:sz w:val="24"/>
                <w:szCs w:val="24"/>
                <w:highlight w:val="none"/>
                <w:lang w:val="en-US" w:eastAsia="zh-CN" w:bidi="ar-SA"/>
              </w:rPr>
            </w:r>
            <w:r/>
          </w:p>
          <w:p>
            <w:pPr>
              <w:pStyle w:val="1081"/>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（5）供应商为本项目配备道板冲洗车，每有1辆得1分，最高得1分；</w:t>
            </w:r>
            <w:r>
              <w:rPr>
                <w:rFonts w:hint="eastAsia" w:ascii="宋体" w:hAnsi="宋体" w:eastAsia="宋体" w:cs="宋体"/>
                <w:sz w:val="24"/>
                <w:szCs w:val="24"/>
                <w:highlight w:val="none"/>
                <w:lang w:val="en-US" w:eastAsia="zh-CN" w:bidi="ar-SA"/>
              </w:rPr>
            </w:r>
            <w:r/>
          </w:p>
          <w:p>
            <w:pPr>
              <w:pStyle w:val="1081"/>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（6）供应商为本项目配备快速保洁车的，每有1辆得1分，最高得1分；</w:t>
            </w:r>
            <w:r>
              <w:rPr>
                <w:rFonts w:hint="eastAsia" w:ascii="宋体" w:hAnsi="宋体" w:eastAsia="宋体" w:cs="宋体"/>
                <w:sz w:val="24"/>
                <w:szCs w:val="24"/>
                <w:highlight w:val="none"/>
                <w:lang w:val="en-US" w:eastAsia="zh-CN" w:bidi="ar-SA"/>
              </w:rPr>
            </w:r>
            <w:r/>
          </w:p>
          <w:p>
            <w:pPr>
              <w:pStyle w:val="1081"/>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（7）供应商为本项目配备小型洗扫车( 车身尺寸(mm)：≤3800*1300*2200)的，每有1辆得1分，最高得1分；</w:t>
            </w:r>
            <w:r>
              <w:rPr>
                <w:rFonts w:hint="eastAsia" w:ascii="宋体" w:hAnsi="宋体" w:eastAsia="宋体" w:cs="宋体"/>
                <w:sz w:val="24"/>
                <w:szCs w:val="24"/>
                <w:highlight w:val="none"/>
                <w:lang w:val="en-US" w:eastAsia="zh-CN" w:bidi="ar-SA"/>
              </w:rPr>
            </w:r>
            <w:r/>
          </w:p>
          <w:p>
            <w:pPr>
              <w:pStyle w:val="1081"/>
              <w:ind w:firstLine="482"/>
              <w:jc w:val="left"/>
              <w:rPr>
                <w:rFonts w:hint="eastAsia" w:ascii="新宋体" w:hAnsi="新宋体" w:eastAsia="新宋体" w:cs="新宋体"/>
                <w:color w:val="000000"/>
                <w:sz w:val="21"/>
                <w:szCs w:val="21"/>
                <w:highlight w:val="none"/>
                <w:lang w:val="en-US" w:eastAsia="zh-CN" w:bidi="ar-SA"/>
              </w:rPr>
            </w:pPr>
            <w:r>
              <w:rPr>
                <w:rFonts w:hint="eastAsia" w:ascii="宋体" w:hAnsi="宋体" w:eastAsia="宋体" w:cs="宋体"/>
                <w:b/>
                <w:bCs/>
                <w:sz w:val="24"/>
                <w:szCs w:val="24"/>
                <w:highlight w:val="none"/>
                <w:lang w:val="en-US" w:eastAsia="zh-CN" w:bidi="ar-SA"/>
              </w:rPr>
              <w:t xml:space="preserve">注：供应商需提供以下扫描件：1、在年审有效期内的《机动车行驶证》扫描件；2、有效期内的《机动车登记证》扫描件；3、购买发票（购置发票上的所有人名称必须与</w:t>
            </w:r>
            <w:r>
              <w:rPr>
                <w:rFonts w:hint="eastAsia" w:ascii="宋体" w:hAnsi="宋体" w:eastAsia="宋体" w:cs="宋体"/>
                <w:b/>
                <w:bCs/>
                <w:sz w:val="24"/>
                <w:szCs w:val="24"/>
                <w:highlight w:val="none"/>
                <w:lang w:val="zh-CN" w:eastAsia="zh-CN" w:bidi="ar-SA"/>
              </w:rPr>
              <w:t xml:space="preserve">供应商</w:t>
            </w:r>
            <w:r>
              <w:rPr>
                <w:rFonts w:hint="eastAsia" w:ascii="宋体" w:hAnsi="宋体" w:eastAsia="宋体" w:cs="宋体"/>
                <w:b/>
                <w:bCs/>
                <w:sz w:val="24"/>
                <w:szCs w:val="24"/>
                <w:highlight w:val="none"/>
                <w:lang w:val="en-US" w:eastAsia="zh-CN" w:bidi="ar-SA"/>
              </w:rPr>
              <w:t xml:space="preserve">名称一致）；4、车辆照片（体现车牌）。若车辆为租赁的，还须另行提供租赁协议扫描件，购置发票与出租方名称一致。不提供不得分。</w:t>
            </w:r>
            <w:r>
              <w:rPr>
                <w:rFonts w:hint="eastAsia" w:ascii="新宋体" w:hAnsi="新宋体" w:eastAsia="新宋体" w:cs="新宋体"/>
                <w:color w:val="000000"/>
                <w:sz w:val="21"/>
                <w:szCs w:val="21"/>
                <w:highlight w:val="none"/>
                <w:lang w:val="en-US" w:eastAsia="zh-CN" w:bidi="ar-SA"/>
              </w:rPr>
            </w:r>
            <w:r/>
          </w:p>
        </w:tc>
        <w:tc>
          <w:tcPr>
            <w:tcW w:w="1900" w:type="dxa"/>
            <w:vAlign w:val="center"/>
            <w:textDirection w:val="lrTb"/>
            <w:noWrap w:val="false"/>
          </w:tcPr>
          <w:p>
            <w:pPr>
              <w:pStyle w:val="825"/>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7"/>
        </w:trPr>
        <w:tc>
          <w:tcPr>
            <w:tcW w:w="846" w:type="dxa"/>
            <w:vAlign w:val="center"/>
            <w:textDirection w:val="lrTb"/>
            <w:noWrap w:val="false"/>
          </w:tcPr>
          <w:p>
            <w:pPr>
              <w:pStyle w:val="825"/>
              <w:jc w:val="center"/>
              <w:rPr>
                <w:rFonts w:hint="eastAsia" w:ascii="宋体" w:hAnsi="宋体" w:cs="宋体"/>
                <w:color w:val="000000"/>
                <w:szCs w:val="21"/>
                <w:highlight w:val="none"/>
              </w:rPr>
            </w:pPr>
            <w:r>
              <w:rPr>
                <w:rFonts w:hint="eastAsia"/>
                <w:b/>
                <w:bCs/>
                <w:highlight w:val="none"/>
              </w:rPr>
              <w:t xml:space="preserve">3</w:t>
            </w:r>
            <w:r>
              <w:rPr>
                <w:rFonts w:hint="eastAsia" w:ascii="宋体" w:hAnsi="宋体" w:cs="宋体"/>
                <w:color w:val="000000"/>
                <w:szCs w:val="21"/>
                <w:highlight w:val="none"/>
              </w:rPr>
            </w:r>
            <w:r/>
          </w:p>
        </w:tc>
        <w:tc>
          <w:tcPr>
            <w:tcW w:w="1260" w:type="dxa"/>
            <w:vAlign w:val="center"/>
            <w:textDirection w:val="lrTb"/>
            <w:noWrap w:val="false"/>
          </w:tcPr>
          <w:p>
            <w:pPr>
              <w:pStyle w:val="825"/>
              <w:jc w:val="center"/>
              <w:rPr>
                <w:rFonts w:hint="eastAsia" w:ascii="宋体" w:hAnsi="宋体" w:cs="宋体"/>
                <w:color w:val="000000"/>
                <w:szCs w:val="21"/>
                <w:highlight w:val="none"/>
              </w:rPr>
            </w:pPr>
            <w:r>
              <w:rPr>
                <w:rFonts w:hint="eastAsia"/>
                <w:b/>
                <w:bCs/>
                <w:highlight w:val="none"/>
              </w:rPr>
              <w:t xml:space="preserve">主观分</w:t>
            </w:r>
            <w:r>
              <w:rPr>
                <w:rFonts w:hint="eastAsia" w:ascii="宋体" w:hAnsi="宋体" w:cs="宋体"/>
                <w:color w:val="000000"/>
                <w:szCs w:val="21"/>
                <w:highlight w:val="none"/>
              </w:rPr>
            </w:r>
            <w:r/>
          </w:p>
        </w:tc>
        <w:tc>
          <w:tcPr>
            <w:tcW w:w="795" w:type="dxa"/>
            <w:vAlign w:val="center"/>
            <w:textDirection w:val="lrTb"/>
            <w:noWrap w:val="false"/>
          </w:tcPr>
          <w:p>
            <w:pPr>
              <w:pStyle w:val="825"/>
              <w:jc w:val="center"/>
              <w:rPr>
                <w:rFonts w:ascii="宋体" w:hAnsi="宋体" w:eastAsia="宋体" w:cs="宋体"/>
                <w:bCs/>
                <w:color w:val="000000"/>
                <w:szCs w:val="21"/>
                <w:highlight w:val="none"/>
                <w:lang w:val="en-US" w:eastAsia="zh-CN"/>
              </w:rPr>
            </w:pPr>
            <w:r>
              <w:rPr>
                <w:rFonts w:hint="eastAsia"/>
                <w:b/>
                <w:bCs/>
                <w:highlight w:val="none"/>
                <w:lang w:val="en-US" w:eastAsia="zh-CN"/>
              </w:rPr>
              <w:t xml:space="preserve">35</w:t>
            </w:r>
            <w:r>
              <w:rPr>
                <w:rFonts w:ascii="宋体" w:hAnsi="宋体" w:eastAsia="宋体" w:cs="宋体"/>
                <w:bCs/>
                <w:color w:val="000000"/>
                <w:szCs w:val="21"/>
                <w:highlight w:val="none"/>
                <w:lang w:val="en-US" w:eastAsia="zh-CN"/>
              </w:rPr>
            </w:r>
            <w:r/>
          </w:p>
        </w:tc>
        <w:tc>
          <w:tcPr>
            <w:tcW w:w="5036" w:type="dxa"/>
            <w:vAlign w:val="center"/>
            <w:textDirection w:val="lrTb"/>
            <w:noWrap w:val="false"/>
          </w:tcPr>
          <w:p>
            <w:pPr>
              <w:pStyle w:val="825"/>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900" w:type="dxa"/>
            <w:vAlign w:val="center"/>
            <w:textDirection w:val="lrTb"/>
            <w:noWrap w:val="false"/>
          </w:tcPr>
          <w:p>
            <w:pPr>
              <w:pStyle w:val="825"/>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35"/>
        </w:trPr>
        <w:tc>
          <w:tcPr>
            <w:tcW w:w="846" w:type="dxa"/>
            <w:vAlign w:val="center"/>
            <w:textDirection w:val="lrTb"/>
            <w:noWrap w:val="false"/>
          </w:tcPr>
          <w:p>
            <w:pPr>
              <w:pStyle w:val="1081"/>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3.1</w:t>
            </w: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pStyle w:val="825"/>
              <w:jc w:val="center"/>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绿化养护方案</w:t>
            </w:r>
            <w:r>
              <w:rPr>
                <w:rFonts w:hint="eastAsia" w:ascii="宋体" w:hAnsi="宋体" w:eastAsia="宋体" w:cs="宋体"/>
                <w:color w:val="000000"/>
                <w:sz w:val="24"/>
                <w:szCs w:val="24"/>
                <w:highlight w:val="none"/>
                <w:lang w:val="en-US" w:eastAsia="zh-CN"/>
              </w:rPr>
            </w:r>
            <w:r/>
          </w:p>
        </w:tc>
        <w:tc>
          <w:tcPr>
            <w:tcW w:w="795" w:type="dxa"/>
            <w:vAlign w:val="center"/>
            <w:textDirection w:val="lrTb"/>
            <w:noWrap w:val="false"/>
          </w:tcPr>
          <w:p>
            <w:pPr>
              <w:pStyle w:val="825"/>
              <w:jc w:val="center"/>
              <w:spacing w:line="3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5036" w:type="dxa"/>
            <w:vAlign w:val="center"/>
            <w:textDirection w:val="lrTb"/>
            <w:noWrap w:val="false"/>
          </w:tcPr>
          <w:p>
            <w:pPr>
              <w:pStyle w:val="1081"/>
              <w:numPr>
                <w:ilvl w:val="0"/>
                <w:numId w:val="0"/>
              </w:numPr>
              <w:ind w:firstLine="480"/>
              <w:jc w:val="left"/>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根据</w:t>
            </w:r>
            <w:r>
              <w:rPr>
                <w:rFonts w:hint="eastAsia" w:ascii="宋体" w:hAnsi="宋体" w:eastAsia="宋体" w:cs="宋体"/>
                <w:sz w:val="24"/>
                <w:szCs w:val="24"/>
                <w:highlight w:val="none"/>
                <w:lang w:val="en-US" w:eastAsia="zh-CN" w:bidi="ar-SA"/>
              </w:rPr>
              <w:t xml:space="preserve">供应商</w:t>
            </w:r>
            <w:r>
              <w:rPr>
                <w:rFonts w:hint="eastAsia" w:ascii="宋体" w:hAnsi="宋体" w:eastAsia="宋体" w:cs="宋体"/>
                <w:sz w:val="24"/>
                <w:szCs w:val="24"/>
                <w:highlight w:val="none"/>
                <w:lang w:val="zh-CN" w:eastAsia="zh-CN" w:bidi="ar-SA"/>
              </w:rPr>
              <w:t xml:space="preserve">提供的绿化养护方案进行评审：</w:t>
            </w:r>
            <w:r>
              <w:rPr>
                <w:rFonts w:hint="eastAsia" w:ascii="宋体" w:hAnsi="宋体" w:eastAsia="宋体" w:cs="宋体"/>
                <w:sz w:val="24"/>
                <w:szCs w:val="24"/>
                <w:highlight w:val="none"/>
                <w:lang w:val="zh-CN" w:eastAsia="zh-CN" w:bidi="ar-SA"/>
              </w:rPr>
            </w:r>
            <w:r/>
          </w:p>
          <w:p>
            <w:pPr>
              <w:pStyle w:val="1081"/>
              <w:numPr>
                <w:ilvl w:val="0"/>
                <w:numId w:val="0"/>
              </w:numPr>
              <w:ind w:firstLine="480"/>
              <w:jc w:val="left"/>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绿化养护常规作业组织方案，方案针对性、操作性强，计划安排合理的得2分；方案针对性、操作性较强，计划安排较为合理的得1.5分；方案针对性、操作性一般，计划安排不够合理的得1分；未提供方案不得分。</w:t>
            </w:r>
            <w:r>
              <w:rPr>
                <w:rFonts w:hint="eastAsia" w:ascii="宋体" w:hAnsi="宋体" w:eastAsia="宋体" w:cs="宋体"/>
                <w:sz w:val="24"/>
                <w:szCs w:val="24"/>
                <w:highlight w:val="none"/>
                <w:lang w:val="zh-CN" w:eastAsia="zh-CN" w:bidi="ar-SA"/>
              </w:rPr>
            </w:r>
            <w:r/>
          </w:p>
          <w:p>
            <w:pPr>
              <w:pStyle w:val="1081"/>
              <w:numPr>
                <w:ilvl w:val="0"/>
                <w:numId w:val="0"/>
              </w:numPr>
              <w:ind w:firstLine="480"/>
              <w:jc w:val="left"/>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2）提供有详细的全年病虫害防治计划，针对常发性病害和虫害，制定科学合理的病虫害防治月历，方案内容包括上述要求，且满足招标文件要求的得2分；方案基本满足招标需求得1.5分；方案较差或有明显缺项得1分；未提供方案不得分。</w:t>
            </w:r>
            <w:r>
              <w:rPr>
                <w:rFonts w:hint="eastAsia" w:ascii="宋体" w:hAnsi="宋体" w:eastAsia="宋体" w:cs="宋体"/>
                <w:sz w:val="24"/>
                <w:szCs w:val="24"/>
                <w:highlight w:val="none"/>
                <w:lang w:val="zh-CN" w:eastAsia="zh-CN" w:bidi="ar-SA"/>
              </w:rPr>
            </w:r>
            <w:r/>
          </w:p>
          <w:p>
            <w:pPr>
              <w:pStyle w:val="1081"/>
              <w:numPr>
                <w:ilvl w:val="0"/>
                <w:numId w:val="0"/>
              </w:numPr>
              <w:ind w:firstLine="480"/>
              <w:jc w:val="left"/>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3）提供根据养护区域、季节采取相应除草措施，有响应养护月历的浇水、排水要求，根据生长规律制定出有效的施肥方案，方案内容包括上述要求，且满足招标文件要求的得2分；方案基本满足招标需求得1.5分；方案较差或有明显缺项得1分；未提供方案不得分。</w:t>
            </w:r>
            <w:r>
              <w:rPr>
                <w:rFonts w:hint="eastAsia" w:ascii="宋体" w:hAnsi="宋体" w:eastAsia="宋体" w:cs="宋体"/>
                <w:sz w:val="24"/>
                <w:szCs w:val="24"/>
                <w:highlight w:val="none"/>
                <w:lang w:val="zh-CN" w:eastAsia="zh-CN" w:bidi="ar-SA"/>
              </w:rPr>
            </w:r>
            <w:r/>
          </w:p>
          <w:p>
            <w:pPr>
              <w:pStyle w:val="1081"/>
              <w:numPr>
                <w:ilvl w:val="0"/>
                <w:numId w:val="0"/>
              </w:numPr>
              <w:ind w:firstLine="480"/>
              <w:jc w:val="left"/>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4）根据巡视时间安排，巡视资料上报确保准确、及时的方案，绿地发生破坏或侵占第一时间上报的方案，相关制度和实施等方案进行综合评审：方案完整、能完全满足项目实施要求，得2分；方案较具体、能基本满足项目实施要求，得1.5分；方案内容较差、无针对性，得1分；未提供方案不得分。</w:t>
            </w:r>
            <w:r>
              <w:rPr>
                <w:rFonts w:hint="eastAsia" w:ascii="宋体" w:hAnsi="宋体" w:eastAsia="宋体" w:cs="宋体"/>
                <w:sz w:val="24"/>
                <w:szCs w:val="24"/>
                <w:highlight w:val="none"/>
                <w:lang w:val="zh-CN" w:eastAsia="zh-CN" w:bidi="ar-SA"/>
              </w:rPr>
            </w:r>
            <w:r/>
          </w:p>
          <w:p>
            <w:pPr>
              <w:pStyle w:val="1081"/>
              <w:numPr>
                <w:ilvl w:val="0"/>
                <w:numId w:val="0"/>
              </w:numPr>
              <w:ind w:firstLine="480"/>
              <w:jc w:val="lef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5）根据绿化补种措施（绿化补种含绿化踩踏、缺株、死株更换、绿地种菜恢复、无手续行政开挖恢复等所有绿化补种）等方案进行综合评审：方案完整、能完全满足项目实施要求，得2分；方案较具体、能基本满足项目实施要求，得1.5分；方案内容较差、无针对性，得1分；未提供方案不得分。</w:t>
            </w:r>
            <w:r>
              <w:rPr>
                <w:rFonts w:ascii="宋体" w:hAnsi="宋体" w:eastAsia="宋体" w:cs="宋体"/>
                <w:sz w:val="24"/>
                <w:szCs w:val="24"/>
                <w:highlight w:val="none"/>
                <w:lang w:val="en-US" w:eastAsia="zh-CN" w:bidi="ar-SA"/>
              </w:rPr>
            </w:r>
            <w:r/>
          </w:p>
        </w:tc>
        <w:tc>
          <w:tcPr>
            <w:tcW w:w="1900" w:type="dxa"/>
            <w:vAlign w:val="center"/>
            <w:textDirection w:val="lrTb"/>
            <w:noWrap w:val="false"/>
          </w:tcPr>
          <w:p>
            <w:pPr>
              <w:pStyle w:val="1081"/>
              <w:numPr>
                <w:ilvl w:val="0"/>
                <w:numId w:val="0"/>
              </w:num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445"/>
        </w:trPr>
        <w:tc>
          <w:tcPr>
            <w:tcW w:w="846" w:type="dxa"/>
            <w:vAlign w:val="center"/>
            <w:textDirection w:val="lrTb"/>
            <w:noWrap w:val="false"/>
          </w:tcPr>
          <w:p>
            <w:pPr>
              <w:pStyle w:val="1081"/>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3.2</w:t>
            </w: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pStyle w:val="825"/>
              <w:jc w:val="center"/>
              <w:spacing w:line="3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管理机构和管理制度</w:t>
            </w:r>
            <w:r>
              <w:rPr>
                <w:rFonts w:ascii="宋体" w:hAnsi="宋体" w:eastAsia="宋体" w:cs="宋体"/>
                <w:color w:val="000000"/>
                <w:sz w:val="24"/>
                <w:szCs w:val="24"/>
                <w:highlight w:val="none"/>
                <w:lang w:val="en-US" w:eastAsia="zh-CN"/>
              </w:rPr>
            </w:r>
            <w:r/>
          </w:p>
        </w:tc>
        <w:tc>
          <w:tcPr>
            <w:tcW w:w="795" w:type="dxa"/>
            <w:vAlign w:val="center"/>
            <w:textDirection w:val="lrTb"/>
            <w:noWrap w:val="false"/>
          </w:tcPr>
          <w:p>
            <w:pPr>
              <w:pStyle w:val="825"/>
              <w:jc w:val="center"/>
              <w:spacing w:line="3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W w:w="5036" w:type="dxa"/>
            <w:vAlign w:val="center"/>
            <w:textDirection w:val="lrTb"/>
            <w:noWrap w:val="false"/>
          </w:tcPr>
          <w:p>
            <w:pPr>
              <w:pStyle w:val="1081"/>
              <w:numPr>
                <w:ilvl w:val="0"/>
                <w:numId w:val="0"/>
              </w:numPr>
              <w:ind w:firstLine="480"/>
              <w:jc w:val="lef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有完整的管理机构配备以及管理平台；有绿化养护人员组织及落实制度（方案内容包括：项目部组织网络；作业落实制度具体人员的权责、分工描述、作业时间、巡查检查制度，有奖惩措施；巡查时间安排合理措施及巡查资料上报准确性、及时措施，并承诺绿地发生破坏或侵占第一时间上报制度）；有员工录用、考核和淘汰制度和员工培训计划。方案内容包括上述要求：方案针对性、操作性强，计划安排合理的得6分；方案针对性、操作性较强，计划安排较为合理的得4分，方案针对性、操作性一般，计划安排不够合理的得2分；未提供方案不得分。</w:t>
            </w:r>
            <w:r>
              <w:rPr>
                <w:rFonts w:ascii="宋体" w:hAnsi="宋体" w:eastAsia="宋体" w:cs="宋体"/>
                <w:sz w:val="24"/>
                <w:szCs w:val="24"/>
                <w:highlight w:val="none"/>
                <w:lang w:val="en-US" w:eastAsia="zh-CN" w:bidi="ar-SA"/>
              </w:rPr>
            </w:r>
            <w:r/>
          </w:p>
        </w:tc>
        <w:tc>
          <w:tcPr>
            <w:tcW w:w="1900" w:type="dxa"/>
            <w:vAlign w:val="center"/>
            <w:textDirection w:val="lrTb"/>
            <w:noWrap w:val="false"/>
          </w:tcPr>
          <w:p>
            <w:pPr>
              <w:pStyle w:val="1081"/>
              <w:numPr>
                <w:ilvl w:val="0"/>
                <w:numId w:val="0"/>
              </w:numPr>
              <w:jc w:val="left"/>
              <w:rPr>
                <w:rFonts w:hint="eastAsia" w:ascii="宋体" w:hAnsi="宋体" w:eastAsia="宋体" w:cs="宋体"/>
                <w:sz w:val="24"/>
                <w:szCs w:val="24"/>
                <w:highlight w:val="none"/>
                <w:lang w:val="zh-TW" w:eastAsia="zh-CN" w:bidi="ar-SA"/>
              </w:rPr>
            </w:pPr>
            <w:r>
              <w:rPr>
                <w:rFonts w:hint="eastAsia" w:ascii="宋体" w:hAnsi="宋体" w:eastAsia="宋体" w:cs="宋体"/>
                <w:sz w:val="24"/>
                <w:szCs w:val="24"/>
                <w:highlight w:val="none"/>
                <w:lang w:val="zh-TW" w:eastAsia="zh-CN" w:bidi="ar-SA"/>
              </w:rPr>
            </w:r>
            <w:r/>
          </w:p>
        </w:tc>
      </w:tr>
      <w:tr>
        <w:trPr>
          <w:trHeight w:val="3227"/>
        </w:trPr>
        <w:tc>
          <w:tcPr>
            <w:tcW w:w="846" w:type="dxa"/>
            <w:vAlign w:val="center"/>
            <w:textDirection w:val="lrTb"/>
            <w:noWrap w:val="false"/>
          </w:tcPr>
          <w:p>
            <w:pPr>
              <w:pStyle w:val="1081"/>
              <w:numPr>
                <w:ilvl w:val="0"/>
                <w:numId w:val="0"/>
              </w:numPr>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3.3</w:t>
            </w:r>
            <w:r>
              <w:rPr>
                <w:rFonts w:ascii="宋体" w:hAnsi="宋体" w:eastAsia="宋体" w:cs="宋体"/>
                <w:sz w:val="24"/>
                <w:szCs w:val="24"/>
                <w:highlight w:val="none"/>
                <w:lang w:val="en-US" w:eastAsia="zh-CN" w:bidi="ar-SA"/>
              </w:rPr>
            </w:r>
            <w:r/>
          </w:p>
        </w:tc>
        <w:tc>
          <w:tcPr>
            <w:tcW w:w="1260" w:type="dxa"/>
            <w:vAlign w:val="center"/>
            <w:textDirection w:val="lrTb"/>
            <w:noWrap w:val="false"/>
          </w:tcPr>
          <w:p>
            <w:pPr>
              <w:pStyle w:val="825"/>
              <w:jc w:val="center"/>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重点特色树种及其他乔灌草的修剪措施</w:t>
            </w:r>
            <w:r>
              <w:rPr>
                <w:rFonts w:hint="eastAsia" w:ascii="宋体" w:hAnsi="宋体" w:eastAsia="宋体" w:cs="宋体"/>
                <w:color w:val="000000"/>
                <w:sz w:val="24"/>
                <w:szCs w:val="24"/>
                <w:highlight w:val="none"/>
                <w:lang w:val="en-US" w:eastAsia="zh-CN"/>
              </w:rPr>
            </w:r>
            <w:r/>
          </w:p>
        </w:tc>
        <w:tc>
          <w:tcPr>
            <w:tcW w:w="795" w:type="dxa"/>
            <w:vAlign w:val="center"/>
            <w:textDirection w:val="lrTb"/>
            <w:noWrap w:val="false"/>
          </w:tcPr>
          <w:p>
            <w:pPr>
              <w:pStyle w:val="825"/>
              <w:jc w:val="center"/>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5036" w:type="dxa"/>
            <w:vAlign w:val="center"/>
            <w:textDirection w:val="lrTb"/>
            <w:noWrap w:val="false"/>
          </w:tcPr>
          <w:p>
            <w:pPr>
              <w:pStyle w:val="1081"/>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根据供应商提供的重点特色树种及其他乔灌草的修剪措施进行评审：</w:t>
            </w:r>
            <w:r>
              <w:rPr>
                <w:rFonts w:hint="eastAsia" w:ascii="宋体" w:hAnsi="宋体" w:eastAsia="宋体" w:cs="宋体"/>
                <w:sz w:val="24"/>
                <w:szCs w:val="24"/>
                <w:highlight w:val="none"/>
                <w:lang w:val="en-US" w:eastAsia="zh-CN" w:bidi="ar-SA"/>
              </w:rPr>
            </w:r>
            <w:r/>
          </w:p>
          <w:p>
            <w:pPr>
              <w:pStyle w:val="1081"/>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（1）提供针对不同行道树制定有针对性修剪措施，方案完整且满足招标文件要求的得2分；方案较完整且基本满足招标需求得1.5分；方案较差或有明显缺项得1分；未提供方案不得分。</w:t>
            </w:r>
            <w:r>
              <w:rPr>
                <w:rFonts w:hint="eastAsia" w:ascii="宋体" w:hAnsi="宋体" w:eastAsia="宋体" w:cs="宋体"/>
                <w:sz w:val="24"/>
                <w:szCs w:val="24"/>
                <w:highlight w:val="none"/>
                <w:lang w:val="en-US" w:eastAsia="zh-CN" w:bidi="ar-SA"/>
              </w:rPr>
            </w:r>
            <w:r/>
          </w:p>
          <w:p>
            <w:pPr>
              <w:pStyle w:val="1081"/>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提供其他乔木、花灌木、草坪、绿篱及地被等根据生长特性和季节制定合理的修剪措施，方案完整且满足招标文件要求的得2分；方案较完整且基本满足招标需求得1.5分；方案较差或有明显缺项得1分；未提供方案不得分。</w:t>
            </w:r>
            <w:r>
              <w:rPr>
                <w:rFonts w:hint="eastAsia" w:ascii="宋体" w:hAnsi="宋体" w:eastAsia="宋体" w:cs="宋体"/>
                <w:sz w:val="24"/>
                <w:szCs w:val="24"/>
                <w:highlight w:val="none"/>
                <w:lang w:val="en-US" w:eastAsia="zh-CN" w:bidi="ar-SA"/>
              </w:rPr>
            </w:r>
            <w:r/>
          </w:p>
          <w:p>
            <w:pPr>
              <w:pStyle w:val="1081"/>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（3）提供符合实际的特色造型、景观树的修剪措施，方案完整且满足招标文件要求的得2分；方案较完整且基本满足招标需求得1.5分；方案较差或有明显缺项得1分；未提供方案不得分。</w:t>
            </w:r>
            <w:r>
              <w:rPr>
                <w:rFonts w:hint="eastAsia" w:ascii="宋体" w:hAnsi="宋体" w:eastAsia="宋体" w:cs="宋体"/>
                <w:sz w:val="24"/>
                <w:szCs w:val="24"/>
                <w:highlight w:val="none"/>
                <w:lang w:val="en-US" w:eastAsia="zh-CN" w:bidi="ar-SA"/>
              </w:rPr>
            </w:r>
            <w:r/>
          </w:p>
        </w:tc>
        <w:tc>
          <w:tcPr>
            <w:tcW w:w="1900" w:type="dxa"/>
            <w:vAlign w:val="center"/>
            <w:textDirection w:val="lrTb"/>
            <w:noWrap w:val="false"/>
          </w:tcPr>
          <w:p>
            <w:pPr>
              <w:pStyle w:val="1081"/>
              <w:numPr>
                <w:ilvl w:val="0"/>
                <w:numId w:val="0"/>
              </w:num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372"/>
        </w:trPr>
        <w:tc>
          <w:tcPr>
            <w:tcW w:w="846" w:type="dxa"/>
            <w:vAlign w:val="center"/>
            <w:textDirection w:val="lrTb"/>
            <w:noWrap w:val="false"/>
          </w:tcPr>
          <w:p>
            <w:pPr>
              <w:pStyle w:val="1081"/>
              <w:numPr>
                <w:ilvl w:val="0"/>
                <w:numId w:val="0"/>
              </w:numPr>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3.4</w:t>
            </w:r>
            <w:r>
              <w:rPr>
                <w:rFonts w:ascii="宋体" w:hAnsi="宋体" w:eastAsia="宋体" w:cs="宋体"/>
                <w:sz w:val="24"/>
                <w:szCs w:val="24"/>
                <w:highlight w:val="none"/>
                <w:lang w:val="en-US" w:eastAsia="zh-CN" w:bidi="ar-SA"/>
              </w:rPr>
            </w:r>
            <w:r/>
          </w:p>
        </w:tc>
        <w:tc>
          <w:tcPr>
            <w:tcW w:w="1260" w:type="dxa"/>
            <w:vAlign w:val="center"/>
            <w:textDirection w:val="lrTb"/>
            <w:noWrap w:val="false"/>
          </w:tcPr>
          <w:p>
            <w:pPr>
              <w:pStyle w:val="825"/>
              <w:jc w:val="center"/>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安全、文明作业管理实施方案及保障措施</w:t>
            </w:r>
            <w:r>
              <w:rPr>
                <w:rFonts w:hint="eastAsia" w:ascii="宋体" w:hAnsi="宋体" w:eastAsia="宋体" w:cs="宋体"/>
                <w:color w:val="000000"/>
                <w:sz w:val="24"/>
                <w:szCs w:val="24"/>
                <w:highlight w:val="none"/>
                <w:lang w:val="en-US" w:eastAsia="zh-CN"/>
              </w:rPr>
            </w:r>
            <w:r/>
          </w:p>
        </w:tc>
        <w:tc>
          <w:tcPr>
            <w:tcW w:w="795" w:type="dxa"/>
            <w:vAlign w:val="center"/>
            <w:textDirection w:val="lrTb"/>
            <w:noWrap w:val="false"/>
          </w:tcPr>
          <w:p>
            <w:pPr>
              <w:pStyle w:val="825"/>
              <w:jc w:val="center"/>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5036" w:type="dxa"/>
            <w:vAlign w:val="center"/>
            <w:textDirection w:val="lrTb"/>
            <w:noWrap w:val="false"/>
          </w:tcPr>
          <w:p>
            <w:pPr>
              <w:pStyle w:val="1081"/>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供应商提供的安全、文明作业管理实施方案及保障措施进行评审，包括不限于安全制度、安全预案、全员安全培训计划；安全设施配备及安全检查及记录要求；意外伤害赔偿措施和风险规避措施；事故发生后的应对处理办法。方案内容完整、详细，措施具体，完全贴合项目特点和采购需求，具有很强的针对性的得4分；方案内容较完整，措施基本具体，能够满足项目要求，具有一定针对性的得3分；方案内容简单，措施笼统，部分满足项目要求，针对性一般的得2分；未提供方案不得分。</w:t>
            </w:r>
            <w:r>
              <w:rPr>
                <w:rFonts w:hint="eastAsia" w:ascii="宋体" w:hAnsi="宋体" w:eastAsia="宋体" w:cs="宋体"/>
                <w:sz w:val="24"/>
                <w:szCs w:val="24"/>
                <w:highlight w:val="none"/>
                <w:lang w:val="en-US" w:eastAsia="zh-CN" w:bidi="ar-SA"/>
              </w:rPr>
            </w:r>
            <w:r/>
          </w:p>
        </w:tc>
        <w:tc>
          <w:tcPr>
            <w:tcW w:w="1900" w:type="dxa"/>
            <w:vAlign w:val="center"/>
            <w:textDirection w:val="lrTb"/>
            <w:noWrap w:val="false"/>
          </w:tcPr>
          <w:p>
            <w:pPr>
              <w:pStyle w:val="1081"/>
              <w:numPr>
                <w:ilvl w:val="0"/>
                <w:numId w:val="0"/>
              </w:num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372"/>
        </w:trPr>
        <w:tc>
          <w:tcPr>
            <w:tcW w:w="846" w:type="dxa"/>
            <w:vAlign w:val="center"/>
            <w:textDirection w:val="lrTb"/>
            <w:noWrap w:val="false"/>
          </w:tcPr>
          <w:p>
            <w:pPr>
              <w:pStyle w:val="1081"/>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1260" w:type="dxa"/>
            <w:vAlign w:val="center"/>
            <w:textDirection w:val="lrTb"/>
            <w:noWrap w:val="false"/>
          </w:tcPr>
          <w:p>
            <w:pPr>
              <w:pStyle w:val="825"/>
              <w:jc w:val="center"/>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恶劣天气应急预案</w:t>
            </w:r>
            <w:r>
              <w:rPr>
                <w:rFonts w:hint="eastAsia" w:ascii="宋体" w:hAnsi="宋体" w:eastAsia="宋体" w:cs="宋体"/>
                <w:color w:val="000000"/>
                <w:sz w:val="24"/>
                <w:szCs w:val="24"/>
                <w:highlight w:val="none"/>
                <w:lang w:val="en-US" w:eastAsia="zh-CN"/>
              </w:rPr>
            </w:r>
            <w:r/>
          </w:p>
        </w:tc>
        <w:tc>
          <w:tcPr>
            <w:tcW w:w="795" w:type="dxa"/>
            <w:vAlign w:val="center"/>
            <w:textDirection w:val="lrTb"/>
            <w:noWrap w:val="false"/>
          </w:tcPr>
          <w:p>
            <w:pPr>
              <w:pStyle w:val="825"/>
              <w:jc w:val="center"/>
              <w:spacing w:line="3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W w:w="5036" w:type="dxa"/>
            <w:vAlign w:val="center"/>
            <w:textDirection w:val="lrTb"/>
            <w:noWrap w:val="false"/>
          </w:tcPr>
          <w:p>
            <w:pPr>
              <w:pStyle w:val="1081"/>
              <w:numPr>
                <w:ilvl w:val="0"/>
                <w:numId w:val="0"/>
              </w:numPr>
              <w:ind w:firstLine="480"/>
              <w:jc w:val="lef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供应商提供的恶劣天气应急预案进行评审：应急预案详尽、针对性及可操作性强，计划安排合理，且有完备的应急物资贮备清单的得6分；应急预案较详尽、针对性及可操作性较强，计划安排较合理，且有较完备的应急物资贮备清单的得4分；应急预案基本详尽、针对性及可操作性一般，计划安排基本合理，应急物资贮备清单基本完备的得2分；未提供方案不得分。</w:t>
            </w:r>
            <w:r>
              <w:rPr>
                <w:rFonts w:ascii="宋体" w:hAnsi="宋体" w:eastAsia="宋体" w:cs="宋体"/>
                <w:sz w:val="24"/>
                <w:szCs w:val="24"/>
                <w:highlight w:val="none"/>
                <w:lang w:val="en-US" w:eastAsia="zh-CN" w:bidi="ar-SA"/>
              </w:rPr>
            </w:r>
            <w:r/>
          </w:p>
        </w:tc>
        <w:tc>
          <w:tcPr>
            <w:tcW w:w="1900" w:type="dxa"/>
            <w:vAlign w:val="center"/>
            <w:textDirection w:val="lrTb"/>
            <w:noWrap w:val="false"/>
          </w:tcPr>
          <w:p>
            <w:pPr>
              <w:pStyle w:val="1081"/>
              <w:numPr>
                <w:ilvl w:val="0"/>
                <w:numId w:val="0"/>
              </w:num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372"/>
        </w:trPr>
        <w:tc>
          <w:tcPr>
            <w:tcW w:w="846" w:type="dxa"/>
            <w:vAlign w:val="center"/>
            <w:textDirection w:val="lrTb"/>
            <w:noWrap w:val="false"/>
          </w:tcPr>
          <w:p>
            <w:pPr>
              <w:pStyle w:val="1081"/>
              <w:numPr>
                <w:ilvl w:val="0"/>
                <w:numId w:val="0"/>
              </w:numPr>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3.6</w:t>
            </w:r>
            <w:r>
              <w:rPr>
                <w:rFonts w:ascii="宋体" w:hAnsi="宋体" w:eastAsia="宋体" w:cs="宋体"/>
                <w:sz w:val="24"/>
                <w:szCs w:val="24"/>
                <w:highlight w:val="none"/>
                <w:lang w:val="en-US" w:eastAsia="zh-CN" w:bidi="ar-SA"/>
              </w:rPr>
            </w:r>
            <w:r/>
          </w:p>
        </w:tc>
        <w:tc>
          <w:tcPr>
            <w:tcW w:w="1260" w:type="dxa"/>
            <w:vAlign w:val="center"/>
            <w:textDirection w:val="lrTb"/>
            <w:noWrap w:val="false"/>
          </w:tcPr>
          <w:p>
            <w:pPr>
              <w:pStyle w:val="825"/>
              <w:jc w:val="center"/>
              <w:spacing w:line="3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重大活动，检查评比和节假日保障措施</w:t>
            </w:r>
            <w:r>
              <w:rPr>
                <w:rFonts w:ascii="宋体" w:hAnsi="宋体" w:eastAsia="宋体" w:cs="宋体"/>
                <w:color w:val="000000"/>
                <w:sz w:val="24"/>
                <w:szCs w:val="24"/>
                <w:highlight w:val="none"/>
                <w:lang w:val="en-US" w:eastAsia="zh-CN"/>
              </w:rPr>
            </w:r>
            <w:r/>
          </w:p>
        </w:tc>
        <w:tc>
          <w:tcPr>
            <w:tcW w:w="795" w:type="dxa"/>
            <w:vAlign w:val="center"/>
            <w:textDirection w:val="lrTb"/>
            <w:noWrap w:val="false"/>
          </w:tcPr>
          <w:p>
            <w:pPr>
              <w:pStyle w:val="825"/>
              <w:jc w:val="center"/>
              <w:spacing w:line="300" w:lineRule="exact"/>
              <w:rPr>
                <w:rFonts w:hint="eastAsia" w:eastAsia="宋体"/>
                <w:color w:val="000000"/>
                <w:sz w:val="21"/>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eastAsia="宋体"/>
                <w:color w:val="000000"/>
                <w:sz w:val="21"/>
                <w:szCs w:val="24"/>
                <w:highlight w:val="none"/>
                <w:lang w:val="en-US" w:eastAsia="zh-CN" w:bidi="ar-SA"/>
              </w:rPr>
            </w:r>
            <w:r/>
          </w:p>
        </w:tc>
        <w:tc>
          <w:tcPr>
            <w:tcW w:w="5036" w:type="dxa"/>
            <w:vAlign w:val="center"/>
            <w:textDirection w:val="lrTb"/>
            <w:noWrap w:val="false"/>
          </w:tcPr>
          <w:p>
            <w:pPr>
              <w:pStyle w:val="1081"/>
              <w:numPr>
                <w:ilvl w:val="0"/>
                <w:numId w:val="0"/>
              </w:numPr>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供应商提供的重大活动，检查评比和节假日保障方案进行评审。方案针对性、操作性强，计划安排合理的得3分；方案针对性、操作性较强，计划安排较为合理的得2分；方案针对性、操作性一般，计划安排基本合理的得1分；未提供方案不得分。</w:t>
            </w:r>
            <w:r>
              <w:rPr>
                <w:rFonts w:hint="eastAsia" w:ascii="宋体" w:hAnsi="宋体" w:eastAsia="宋体" w:cs="宋体"/>
                <w:sz w:val="24"/>
                <w:szCs w:val="24"/>
                <w:highlight w:val="none"/>
                <w:lang w:val="en-US" w:eastAsia="zh-CN" w:bidi="ar-SA"/>
              </w:rPr>
            </w:r>
            <w:r/>
          </w:p>
        </w:tc>
        <w:tc>
          <w:tcPr>
            <w:tcW w:w="1900" w:type="dxa"/>
            <w:vAlign w:val="center"/>
            <w:textDirection w:val="lrTb"/>
            <w:noWrap w:val="false"/>
          </w:tcPr>
          <w:p>
            <w:pPr>
              <w:pStyle w:val="1081"/>
              <w:numPr>
                <w:ilvl w:val="0"/>
                <w:numId w:val="0"/>
              </w:numPr>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06"/>
        </w:trPr>
        <w:tc>
          <w:tcPr>
            <w:gridSpan w:val="2"/>
            <w:tcW w:w="2106" w:type="dxa"/>
            <w:vAlign w:val="center"/>
            <w:textDirection w:val="lrTb"/>
            <w:noWrap w:val="false"/>
          </w:tcPr>
          <w:p>
            <w:pPr>
              <w:pStyle w:val="825"/>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合计</w:t>
            </w:r>
            <w:r>
              <w:rPr>
                <w:rFonts w:hint="eastAsia" w:ascii="宋体" w:hAnsi="宋体" w:eastAsia="宋体" w:cs="宋体"/>
                <w:sz w:val="24"/>
                <w:szCs w:val="24"/>
                <w:highlight w:val="none"/>
                <w:lang w:val="en-US" w:eastAsia="zh-CN" w:bidi="ar-SA"/>
              </w:rPr>
            </w:r>
            <w:r/>
          </w:p>
        </w:tc>
        <w:tc>
          <w:tcPr>
            <w:tcW w:w="795" w:type="dxa"/>
            <w:vAlign w:val="center"/>
            <w:textDirection w:val="lrTb"/>
            <w:noWrap w:val="false"/>
          </w:tcPr>
          <w:p>
            <w:pPr>
              <w:pStyle w:val="825"/>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100</w:t>
            </w:r>
            <w:r>
              <w:rPr>
                <w:rFonts w:hint="eastAsia" w:ascii="宋体" w:hAnsi="宋体" w:eastAsia="宋体" w:cs="宋体"/>
                <w:sz w:val="24"/>
                <w:szCs w:val="24"/>
                <w:highlight w:val="none"/>
                <w:lang w:val="en-US" w:eastAsia="zh-CN" w:bidi="ar-SA"/>
              </w:rPr>
            </w:r>
            <w:r/>
          </w:p>
        </w:tc>
        <w:tc>
          <w:tcPr>
            <w:gridSpan w:val="2"/>
            <w:tcW w:w="6936" w:type="dxa"/>
            <w:vAlign w:val="center"/>
            <w:textDirection w:val="lrTb"/>
            <w:noWrap w:val="false"/>
          </w:tcPr>
          <w:p>
            <w:pPr>
              <w:pStyle w:val="825"/>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tc>
      </w:tr>
    </w:tbl>
    <w:p>
      <w:pPr>
        <w:pStyle w:val="825"/>
        <w:ind w:firstLine="488"/>
        <w:keepLines w:val="0"/>
        <w:keepNext w:val="0"/>
        <w:pageBreakBefore w:val="0"/>
        <w:spacing w:line="360" w:lineRule="auto"/>
        <w:widowControl w:val="off"/>
        <w:rPr>
          <w:rFonts w:hint="eastAsia" w:ascii="宋体" w:hAnsi="宋体" w:cs="宋体"/>
          <w:spacing w:val="2"/>
          <w:sz w:val="24"/>
          <w:highlight w:val="none"/>
          <w:lang w:eastAsia="zh-CN"/>
        </w:rPr>
      </w:pPr>
      <w:r>
        <w:rPr>
          <w:rFonts w:hint="eastAsia" w:ascii="宋体" w:hAnsi="宋体" w:cs="宋体"/>
          <w:spacing w:val="2"/>
          <w:sz w:val="24"/>
          <w:highlight w:val="none"/>
          <w:lang w:eastAsia="zh-CN"/>
        </w:rPr>
      </w:r>
      <w:r/>
    </w:p>
    <w:p>
      <w:pPr>
        <w:pStyle w:val="825"/>
        <w:ind w:firstLine="488"/>
        <w:keepLines w:val="0"/>
        <w:keepNext w:val="0"/>
        <w:pageBreakBefore w:val="0"/>
        <w:spacing w:line="360" w:lineRule="auto"/>
        <w:widowControl w:val="off"/>
        <w:rPr>
          <w:rFonts w:hint="eastAsia" w:ascii="宋体" w:hAnsi="宋体" w:cs="宋体"/>
          <w:spacing w:val="2"/>
          <w:sz w:val="24"/>
          <w:highlight w:val="none"/>
          <w:lang w:eastAsia="zh-CN"/>
        </w:rPr>
      </w:pPr>
      <w:r>
        <w:rPr>
          <w:rFonts w:hint="eastAsia" w:ascii="宋体" w:hAnsi="宋体" w:cs="宋体"/>
          <w:spacing w:val="2"/>
          <w:sz w:val="24"/>
          <w:highlight w:val="none"/>
          <w:lang w:eastAsia="zh-CN"/>
        </w:rPr>
        <w:t xml:space="preserve">注：1.评分细则中要求提供的证明文件及资料等在响应文件中提供并加盖公章，否则不得分。</w:t>
      </w:r>
      <w:r>
        <w:rPr>
          <w:rFonts w:hint="eastAsia" w:ascii="宋体" w:hAnsi="宋体" w:cs="宋体"/>
          <w:spacing w:val="2"/>
          <w:sz w:val="24"/>
          <w:highlight w:val="none"/>
          <w:lang w:eastAsia="zh-CN"/>
        </w:rPr>
      </w:r>
      <w:r/>
    </w:p>
    <w:p>
      <w:pPr>
        <w:pStyle w:val="825"/>
        <w:ind w:firstLine="488"/>
        <w:keepLines w:val="0"/>
        <w:keepNext w:val="0"/>
        <w:pageBreakBefore w:val="0"/>
        <w:spacing w:line="360" w:lineRule="auto"/>
        <w:widowControl w:val="off"/>
        <w:rPr>
          <w:rFonts w:hint="eastAsia" w:ascii="宋体" w:hAnsi="宋体" w:cs="宋体"/>
          <w:spacing w:val="2"/>
          <w:sz w:val="24"/>
          <w:highlight w:val="none"/>
          <w:lang w:eastAsia="zh-CN"/>
        </w:rPr>
      </w:pPr>
      <w:r>
        <w:rPr>
          <w:rFonts w:hint="eastAsia" w:ascii="宋体" w:hAnsi="宋体" w:cs="宋体"/>
          <w:spacing w:val="2"/>
          <w:sz w:val="24"/>
          <w:highlight w:val="none"/>
          <w:lang w:val="en-US" w:eastAsia="zh-CN"/>
        </w:rPr>
        <w:t xml:space="preserve">2.</w:t>
      </w:r>
      <w:r>
        <w:rPr>
          <w:rFonts w:hint="eastAsia" w:ascii="宋体" w:hAnsi="宋体" w:cs="宋体"/>
          <w:spacing w:val="2"/>
          <w:sz w:val="24"/>
          <w:highlight w:val="none"/>
          <w:lang w:eastAsia="zh-CN"/>
        </w:rPr>
        <w:t xml:space="preserve">评审时，未能按以上要求提供相应证明的，不作为评审依据，不得分。</w:t>
      </w:r>
      <w:r>
        <w:rPr>
          <w:rFonts w:hint="eastAsia" w:ascii="宋体" w:hAnsi="宋体" w:cs="宋体"/>
          <w:spacing w:val="2"/>
          <w:sz w:val="24"/>
          <w:highlight w:val="none"/>
          <w:lang w:eastAsia="zh-CN"/>
        </w:rPr>
      </w:r>
      <w:r/>
    </w:p>
    <w:p>
      <w:pPr>
        <w:pStyle w:val="825"/>
        <w:ind w:firstLine="488"/>
        <w:spacing w:line="360" w:lineRule="auto"/>
        <w:tabs>
          <w:tab w:val="left" w:pos="360" w:leader="none"/>
          <w:tab w:val="left" w:pos="1080" w:leader="none"/>
        </w:tabs>
        <w:rPr>
          <w:color w:val="000000"/>
          <w:sz w:val="24"/>
          <w:highlight w:val="none"/>
        </w:rPr>
      </w:pPr>
      <w:r>
        <w:rPr>
          <w:rFonts w:hint="eastAsia" w:ascii="宋体" w:hAnsi="宋体" w:cs="宋体"/>
          <w:spacing w:val="2"/>
          <w:sz w:val="24"/>
          <w:highlight w:val="none"/>
          <w:lang w:val="en-US" w:eastAsia="zh-CN"/>
        </w:rPr>
        <w:t xml:space="preserve">3.以上所需资料均应真实、有效，如发现投标供应商涉嫌资料造假等，采购人将有权取消其成交资格，并保留进一步追究其法律责任的权利。</w:t>
      </w:r>
      <w:r>
        <w:rPr>
          <w:color w:val="000000"/>
          <w:sz w:val="24"/>
          <w:highlight w:val="none"/>
        </w:rPr>
      </w:r>
      <w:r/>
    </w:p>
    <w:p>
      <w:pPr>
        <w:pStyle w:val="825"/>
        <w:jc w:val="center"/>
        <w:spacing w:line="360" w:lineRule="auto"/>
        <w:rPr>
          <w:b/>
          <w:sz w:val="36"/>
          <w:szCs w:val="36"/>
          <w:highlight w:val="none"/>
        </w:rPr>
        <w:outlineLvl w:val="0"/>
      </w:pPr>
      <w:r>
        <w:rPr>
          <w:b/>
          <w:sz w:val="36"/>
          <w:szCs w:val="36"/>
          <w:highlight w:val="none"/>
        </w:rPr>
        <w:br w:type="page" w:clear="all"/>
      </w:r>
      <w:bookmarkStart w:id="805" w:name="_Toc99301424"/>
      <w:r>
        <w:rPr>
          <w:b/>
          <w:sz w:val="36"/>
          <w:szCs w:val="36"/>
          <w:highlight w:val="none"/>
        </w:rPr>
        <w:t xml:space="preserve">第五章   采购需求</w:t>
      </w:r>
      <w:bookmarkEnd w:id="805"/>
      <w:r>
        <w:rPr>
          <w:b/>
          <w:sz w:val="36"/>
          <w:szCs w:val="36"/>
          <w:highlight w:val="none"/>
        </w:rPr>
      </w:r>
      <w:r/>
    </w:p>
    <w:p>
      <w:pPr>
        <w:pStyle w:val="825"/>
        <w:contextualSpacing/>
        <w:spacing w:line="360" w:lineRule="auto"/>
        <w:rPr>
          <w:sz w:val="24"/>
          <w:highlight w:val="none"/>
        </w:rPr>
      </w:pPr>
      <w:r>
        <w:rPr>
          <w:sz w:val="24"/>
          <w:highlight w:val="none"/>
        </w:rPr>
      </w:r>
      <w:r/>
    </w:p>
    <w:p>
      <w:pPr>
        <w:pStyle w:val="825"/>
        <w:pageBreakBefore w:val="0"/>
        <w:spacing w:line="360" w:lineRule="auto"/>
        <w:widowControl w:val="off"/>
        <w:rPr>
          <w:rFonts w:ascii="宋体" w:hAnsi="宋体" w:eastAsia="宋体" w:cs="宋体"/>
          <w:b/>
          <w:sz w:val="24"/>
          <w:highlight w:val="none"/>
          <w:lang w:val="en-US" w:eastAsia="zh-CN"/>
        </w:rPr>
      </w:pPr>
      <w:r/>
      <w:bookmarkStart w:id="806" w:name="_Toc3846"/>
      <w:r>
        <w:rPr>
          <w:rFonts w:hint="eastAsia" w:ascii="宋体" w:hAnsi="宋体" w:cs="宋体"/>
          <w:b/>
          <w:sz w:val="24"/>
          <w:highlight w:val="none"/>
        </w:rPr>
        <w:t xml:space="preserve">一、</w:t>
      </w:r>
      <w:r>
        <w:rPr>
          <w:rFonts w:hint="eastAsia" w:ascii="宋体" w:hAnsi="宋体" w:cs="宋体"/>
          <w:b/>
          <w:sz w:val="24"/>
          <w:highlight w:val="none"/>
          <w:lang w:val="en-US" w:eastAsia="zh-CN"/>
        </w:rPr>
        <w:t xml:space="preserve">项目内容</w:t>
      </w:r>
      <w:r>
        <w:rPr>
          <w:rFonts w:ascii="宋体" w:hAnsi="宋体" w:eastAsia="宋体" w:cs="宋体"/>
          <w:b/>
          <w:sz w:val="24"/>
          <w:highlight w:val="none"/>
          <w:lang w:val="en-US" w:eastAsia="zh-CN"/>
        </w:rPr>
      </w:r>
      <w:r/>
    </w:p>
    <w:p>
      <w:pPr>
        <w:pStyle w:val="825"/>
        <w:ind w:firstLine="488"/>
        <w:keepLines w:val="0"/>
        <w:keepNext w:val="0"/>
        <w:pageBreakBefore w:val="0"/>
        <w:spacing w:line="360" w:lineRule="auto"/>
        <w:widowControl w:val="off"/>
        <w:rPr>
          <w:rFonts w:hint="eastAsia" w:ascii="宋体" w:hAnsi="宋体" w:cs="宋体"/>
          <w:spacing w:val="2"/>
          <w:sz w:val="24"/>
          <w:highlight w:val="none"/>
        </w:rPr>
      </w:pPr>
      <w:r>
        <w:rPr>
          <w:rFonts w:hint="eastAsia" w:ascii="宋体" w:hAnsi="宋体" w:cs="宋体"/>
          <w:spacing w:val="2"/>
          <w:sz w:val="24"/>
          <w:highlight w:val="none"/>
        </w:rPr>
        <w:t xml:space="preserve">本项目是</w:t>
      </w:r>
      <w:r>
        <w:rPr>
          <w:rFonts w:hint="eastAsia" w:ascii="宋体" w:hAnsi="宋体" w:cs="宋体"/>
          <w:spacing w:val="2"/>
          <w:sz w:val="24"/>
          <w:highlight w:val="none"/>
          <w:lang w:eastAsia="zh-CN"/>
        </w:rPr>
        <w:t xml:space="preserve">2026年滨开区绿化管护服务</w:t>
      </w:r>
      <w:r>
        <w:rPr>
          <w:rFonts w:hint="eastAsia" w:ascii="宋体" w:hAnsi="宋体" w:cs="宋体"/>
          <w:spacing w:val="2"/>
          <w:sz w:val="24"/>
          <w:highlight w:val="none"/>
          <w:lang w:val="en-US" w:eastAsia="zh-CN"/>
        </w:rPr>
        <w:t xml:space="preserve">，具体详见招标文件。</w:t>
      </w:r>
      <w:r>
        <w:rPr>
          <w:rFonts w:hint="eastAsia" w:ascii="宋体" w:hAnsi="宋体" w:cs="宋体"/>
          <w:spacing w:val="2"/>
          <w:sz w:val="24"/>
          <w:highlight w:val="none"/>
        </w:rPr>
      </w:r>
      <w:r/>
    </w:p>
    <w:p>
      <w:pPr>
        <w:pStyle w:val="825"/>
        <w:keepLines w:val="0"/>
        <w:keepNext w:val="0"/>
        <w:pageBreakBefore w:val="0"/>
        <w:spacing w:line="360" w:lineRule="auto"/>
        <w:widowControl w:val="off"/>
        <w:rPr>
          <w:rFonts w:ascii="宋体" w:hAnsi="宋体" w:cs="宋体"/>
          <w:spacing w:val="2"/>
          <w:sz w:val="24"/>
          <w:highlight w:val="none"/>
          <w:lang w:val="en-US" w:eastAsia="zh-CN"/>
        </w:rPr>
      </w:pPr>
      <w:r>
        <w:rPr>
          <w:rFonts w:hint="eastAsia" w:ascii="宋体" w:hAnsi="宋体" w:cs="宋体"/>
          <w:b/>
          <w:sz w:val="24"/>
          <w:highlight w:val="none"/>
          <w:lang w:val="en-US" w:eastAsia="zh-CN"/>
        </w:rPr>
        <w:t xml:space="preserve">二、预算金额：1091.177262万元</w:t>
      </w:r>
      <w:r>
        <w:rPr>
          <w:rFonts w:ascii="宋体" w:hAnsi="宋体" w:cs="宋体"/>
          <w:spacing w:val="2"/>
          <w:sz w:val="24"/>
          <w:highlight w:val="none"/>
          <w:lang w:val="en-US" w:eastAsia="zh-CN"/>
        </w:rPr>
      </w:r>
      <w:r/>
    </w:p>
    <w:p>
      <w:pPr>
        <w:pStyle w:val="825"/>
        <w:pageBreakBefore w:val="0"/>
        <w:spacing w:line="360" w:lineRule="auto"/>
        <w:widowControl w:val="off"/>
        <w:rPr>
          <w:rFonts w:eastAsia="宋体"/>
          <w:highlight w:val="none"/>
          <w:lang w:val="en-US" w:eastAsia="zh-CN"/>
        </w:rPr>
      </w:pPr>
      <w:r>
        <w:rPr>
          <w:rFonts w:hint="eastAsia" w:ascii="宋体" w:hAnsi="宋体" w:cs="宋体"/>
          <w:b/>
          <w:sz w:val="24"/>
          <w:highlight w:val="none"/>
          <w:lang w:val="en-US" w:eastAsia="zh-CN"/>
        </w:rPr>
        <w:t xml:space="preserve">三、最高限价：1083.227763万元。</w:t>
      </w:r>
      <w:r>
        <w:rPr>
          <w:rFonts w:eastAsia="宋体"/>
          <w:highlight w:val="none"/>
          <w:lang w:val="en-US" w:eastAsia="zh-CN"/>
        </w:rPr>
      </w:r>
      <w:r/>
    </w:p>
    <w:p>
      <w:pPr>
        <w:pStyle w:val="825"/>
        <w:contextualSpacing/>
        <w:pageBreakBefore w:val="0"/>
        <w:spacing w:line="360" w:lineRule="auto"/>
        <w:widowControl w:val="off"/>
        <w:rPr>
          <w:rFonts w:hint="eastAsia" w:ascii="宋体" w:hAnsi="宋体" w:cs="宋体"/>
          <w:bCs/>
          <w:sz w:val="24"/>
          <w:highlight w:val="none"/>
        </w:rPr>
      </w:pPr>
      <w:r>
        <w:rPr>
          <w:rFonts w:hint="eastAsia" w:ascii="宋体" w:hAnsi="宋体" w:cs="宋体"/>
          <w:b/>
          <w:sz w:val="24"/>
          <w:highlight w:val="none"/>
          <w:lang w:val="en-US" w:eastAsia="zh-CN"/>
        </w:rPr>
        <w:t xml:space="preserve">四、</w:t>
      </w:r>
      <w:r>
        <w:rPr>
          <w:rFonts w:hint="eastAsia" w:ascii="宋体" w:hAnsi="宋体" w:cs="宋体"/>
          <w:b/>
          <w:sz w:val="24"/>
          <w:highlight w:val="none"/>
        </w:rPr>
        <w:t xml:space="preserve">服务期限</w:t>
      </w:r>
      <w:r>
        <w:rPr>
          <w:rFonts w:hint="eastAsia" w:ascii="宋体" w:hAnsi="宋体" w:eastAsia="宋体" w:cs="宋体"/>
          <w:b/>
          <w:sz w:val="24"/>
          <w:highlight w:val="none"/>
          <w:lang w:val="en-US" w:eastAsia="zh-CN"/>
        </w:rPr>
        <w:t xml:space="preserve">：</w:t>
      </w:r>
      <w:r>
        <w:rPr>
          <w:rFonts w:hint="eastAsia" w:ascii="宋体" w:hAnsi="宋体" w:cs="宋体"/>
          <w:b/>
          <w:sz w:val="24"/>
          <w:highlight w:val="none"/>
          <w:lang w:val="en-US" w:eastAsia="zh-CN"/>
        </w:rPr>
        <w:t xml:space="preserve">壹年。</w:t>
      </w:r>
      <w:r>
        <w:rPr>
          <w:rFonts w:hint="eastAsia" w:ascii="宋体" w:hAnsi="宋体" w:cs="宋体"/>
          <w:bCs/>
          <w:sz w:val="24"/>
          <w:highlight w:val="none"/>
        </w:rPr>
      </w:r>
      <w:r/>
    </w:p>
    <w:p>
      <w:pPr>
        <w:pStyle w:val="825"/>
        <w:pageBreakBefore w:val="0"/>
        <w:spacing w:line="360" w:lineRule="auto"/>
        <w:widowControl w:val="off"/>
        <w:rPr>
          <w:rFonts w:ascii="宋体" w:hAnsi="宋体" w:eastAsia="宋体" w:cs="宋体"/>
          <w:bCs/>
          <w:sz w:val="24"/>
          <w:highlight w:val="none"/>
          <w:lang w:val="en-US" w:eastAsia="zh-CN"/>
        </w:rPr>
      </w:pPr>
      <w:r>
        <w:rPr>
          <w:rFonts w:hint="eastAsia" w:ascii="宋体" w:hAnsi="宋体" w:cs="宋体"/>
          <w:b/>
          <w:sz w:val="24"/>
          <w:highlight w:val="none"/>
          <w:lang w:val="en-US" w:eastAsia="zh-CN"/>
        </w:rPr>
        <w:t xml:space="preserve">五</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绿化养护及保洁服务要求</w:t>
      </w:r>
      <w:r>
        <w:rPr>
          <w:rFonts w:ascii="宋体" w:hAnsi="宋体" w:eastAsia="宋体" w:cs="宋体"/>
          <w:bCs/>
          <w:sz w:val="24"/>
          <w:highlight w:val="none"/>
          <w:lang w:val="en-US" w:eastAsia="zh-CN"/>
        </w:rPr>
      </w:r>
      <w:r/>
    </w:p>
    <w:p>
      <w:pPr>
        <w:pStyle w:val="825"/>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1、根据养护技术规范、绿化养护质量标准和有关要求，积极主动保质保量地完成绿化养护工作。质量达到采购人要求，植物保存率100%，设施完好率100%，景观效果良好。</w:t>
      </w:r>
      <w:r>
        <w:rPr>
          <w:rFonts w:hint="eastAsia" w:ascii="宋体" w:hAnsi="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2、接受并主动配合采购人及行业管理部门的检查。</w:t>
      </w:r>
      <w:r>
        <w:rPr>
          <w:rFonts w:hint="eastAsia" w:ascii="宋体" w:hAnsi="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3、因供应商养护原因造成的植物死亡、设施损坏应由供应商负责及时补植和修复，或照价赔偿。</w:t>
      </w:r>
      <w:r>
        <w:rPr>
          <w:rFonts w:hint="eastAsia" w:ascii="宋体" w:hAnsi="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4、供应商应做好详细的养护台账和养护日志，建立养护档案，并在采购人现场考核时提供备查。</w:t>
      </w:r>
      <w:r>
        <w:rPr>
          <w:rFonts w:hint="eastAsia" w:ascii="宋体" w:hAnsi="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5、供应商必须重视安全生产，确保不出安全责任事故。养护期间，由养护工作引起的养护工作人员或他人的人身损害和财产损失，供应商应承担由此引起的一切责任和由此引发的一切经济损失，与采购人无涉。</w:t>
      </w:r>
      <w:r>
        <w:rPr>
          <w:rFonts w:hint="eastAsia" w:ascii="宋体" w:hAnsi="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6、供应商不得派年迈、弱智、童工、残疾、有劣迹人员在养护保洁区域内工作，对有不良行为的工作人员，采购人有权提出调换人员，一经提出供应商必须在一周内予以调换。供应商的工作人员应遵守采购人的规章制度。</w:t>
      </w:r>
      <w:r>
        <w:rPr>
          <w:rFonts w:hint="eastAsia" w:ascii="宋体" w:hAnsi="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7、供应商工作人员应遵守职业道德，注意文明用语，爱护公共财物，塑造良好形象。养护人员在工作区域内安全操作，未经许可不得随意进入非工作区，不得擅自撬、翻、毁、拿公私物品。</w:t>
      </w:r>
      <w:r>
        <w:rPr>
          <w:rFonts w:hint="eastAsia" w:ascii="宋体" w:hAnsi="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8、按《2026年滨开区绿化管护服务项目相关养护附件》（见附件1）和采购人及其上级发布的管理规定、规范、办法、文件等执行。如遇新标准，按最新标准执行。</w:t>
      </w:r>
      <w:r>
        <w:rPr>
          <w:rFonts w:hint="eastAsia" w:ascii="宋体" w:hAnsi="宋体" w:cs="宋体"/>
          <w:spacing w:val="2"/>
          <w:sz w:val="24"/>
          <w:highlight w:val="none"/>
          <w:lang w:val="en-US" w:eastAsia="zh-CN"/>
        </w:rPr>
      </w:r>
      <w:r/>
    </w:p>
    <w:p>
      <w:pPr>
        <w:pStyle w:val="825"/>
        <w:ind w:firstLine="488"/>
        <w:pageBreakBefore w:val="0"/>
        <w:spacing w:line="360" w:lineRule="auto"/>
        <w:widowControl w:val="off"/>
        <w:rPr>
          <w:highlight w:val="none"/>
          <w:lang w:val="en-US" w:eastAsia="zh-CN"/>
        </w:rPr>
      </w:pPr>
      <w:r>
        <w:rPr>
          <w:rFonts w:hint="eastAsia" w:ascii="宋体" w:hAnsi="宋体" w:cs="宋体"/>
          <w:spacing w:val="2"/>
          <w:sz w:val="24"/>
          <w:highlight w:val="none"/>
          <w:lang w:val="en-US" w:eastAsia="zh-CN"/>
        </w:rPr>
        <w:t xml:space="preserve">9、园区保洁基本要求：园区道路、广场、铺装、边角区域每日定时清扫+巡回保洁，无纸屑、烟头、杂物、落叶、浮尘。垃圾桶、果皮箱定期清理、擦拭、消杀，做到日产日清、不满溢、无异味。排水沟、雨水井、绿化带边缘定期清掏，无淤泥堵塞、无堆积杂物。公共小品、座椅、标识、栏杆定期除尘擦拭，无积灰、蛛网、污渍。所有垃圾密闭收集转运，严禁就地堆放、焚烧。所有垃圾密闭收集转运，严禁就地堆放、焚烧。维护区域整洁、无白色垃圾；河道表面清洁工作，保持河面清洁，无明显垃圾、浮萍、落叶等；乙方自配相关保洁工具。</w:t>
      </w:r>
      <w:r>
        <w:rPr>
          <w:highlight w:val="none"/>
          <w:lang w:val="en-US" w:eastAsia="zh-CN"/>
        </w:rPr>
      </w:r>
      <w:r/>
    </w:p>
    <w:p>
      <w:pPr>
        <w:pStyle w:val="825"/>
        <w:pageBreakBefore w:val="0"/>
        <w:spacing w:line="360" w:lineRule="auto"/>
        <w:widowControl w:val="off"/>
        <w:rPr>
          <w:rFonts w:ascii="宋体" w:hAnsi="宋体" w:cs="宋体"/>
          <w:spacing w:val="2"/>
          <w:sz w:val="24"/>
          <w:highlight w:val="none"/>
          <w:lang w:val="en-US" w:eastAsia="zh-CN"/>
        </w:rPr>
      </w:pPr>
      <w:r>
        <w:rPr>
          <w:rFonts w:hint="eastAsia" w:ascii="宋体" w:hAnsi="宋体" w:eastAsia="宋体" w:cs="宋体"/>
          <w:b/>
          <w:sz w:val="24"/>
          <w:highlight w:val="none"/>
          <w:lang w:val="en-US" w:eastAsia="zh-CN"/>
        </w:rPr>
        <w:t xml:space="preserve">六、绿化养护技术措施及要求</w:t>
      </w:r>
      <w:r>
        <w:rPr>
          <w:rFonts w:ascii="宋体" w:hAnsi="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1、浇水:具体视天气情况，保持植物良好长势，草坪灌木不出现大面积枯萎等缺水现象；部分养护区域需要浇水车配合，由供应商自行解决。</w:t>
      </w:r>
      <w:r>
        <w:rPr>
          <w:rFonts w:hint="eastAsia" w:ascii="宋体" w:hAnsi="宋体" w:eastAsia="宋体" w:cs="宋体"/>
          <w:b w:val="0"/>
          <w:bCs w:val="0"/>
          <w:color w:val="000000"/>
          <w:spacing w:val="2"/>
          <w:sz w:val="24"/>
          <w:szCs w:val="24"/>
          <w:highlight w:val="none"/>
          <w:u w:val="none"/>
          <w:lang w:eastAsia="zh-CN"/>
        </w:rPr>
      </w:r>
      <w:r/>
    </w:p>
    <w:p>
      <w:pPr>
        <w:pStyle w:val="825"/>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2、施肥:做到施肥均匀、充足、适度，保证绿化植物强壮、枝叶茂盛；加强新植树木的水肥管理。</w:t>
      </w:r>
      <w:r>
        <w:rPr>
          <w:rFonts w:hint="eastAsia" w:ascii="宋体" w:hAnsi="宋体" w:eastAsia="宋体" w:cs="宋体"/>
          <w:b w:val="0"/>
          <w:bCs w:val="0"/>
          <w:color w:val="000000"/>
          <w:spacing w:val="2"/>
          <w:sz w:val="24"/>
          <w:szCs w:val="24"/>
          <w:highlight w:val="none"/>
          <w:u w:val="none"/>
          <w:lang w:eastAsia="zh-CN"/>
        </w:rPr>
      </w:r>
      <w:r/>
    </w:p>
    <w:p>
      <w:pPr>
        <w:pStyle w:val="825"/>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3、修剪整形：草地：要求草地高度一致，整齐美观，无疯长、斑秃现象，并对有必要区域进行打孔疏草等工作；乔灌木：秋冬季病枯枝修剪，必须对林带过密区域的乔灌木进行疏枝剪叶，做到大小乔木树冠的骨干枝分布均匀，树冠无病枯枝，保证苗木有通透的生长空间以及旺盛的生长势。</w:t>
      </w:r>
      <w:r>
        <w:rPr>
          <w:rFonts w:hint="eastAsia" w:ascii="宋体" w:hAnsi="宋体" w:eastAsia="宋体" w:cs="宋体"/>
          <w:b w:val="0"/>
          <w:bCs w:val="0"/>
          <w:color w:val="000000"/>
          <w:spacing w:val="2"/>
          <w:sz w:val="24"/>
          <w:szCs w:val="24"/>
          <w:highlight w:val="none"/>
          <w:u w:val="none"/>
          <w:lang w:eastAsia="zh-CN"/>
        </w:rPr>
      </w:r>
      <w:r/>
    </w:p>
    <w:p>
      <w:pPr>
        <w:pStyle w:val="825"/>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4、病虫害防治：及时防治，病株、虫害现象不成灾；如由于供应商原因导致乔灌木因虫害死亡，则所有损失的苗木由供应商承担并无条件补栽到位，否则，采购人有权在养护款中扣除该部分苗木款并让其他绿化单位进行补栽，供应商不得有异议。</w:t>
      </w:r>
      <w:r>
        <w:rPr>
          <w:rFonts w:hint="eastAsia" w:ascii="宋体" w:hAnsi="宋体" w:eastAsia="宋体" w:cs="宋体"/>
          <w:b w:val="0"/>
          <w:bCs w:val="0"/>
          <w:color w:val="000000"/>
          <w:spacing w:val="2"/>
          <w:sz w:val="24"/>
          <w:szCs w:val="24"/>
          <w:highlight w:val="none"/>
          <w:u w:val="none"/>
          <w:lang w:eastAsia="zh-CN"/>
        </w:rPr>
      </w:r>
      <w:r/>
    </w:p>
    <w:p>
      <w:pPr>
        <w:pStyle w:val="825"/>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5、除杂草松土：草坪上全年不允许有除混播两种草种外的其他杂草，杂草一经发现，必须在3日内全部清除干净。花木丛中不允许有高于花木的杂草；人行道、行道树树池及绿篱中不允许有杂草，一经发现，必须在3日内清除干净。严防马蹄金、水花生等顽固类杂草，一经发现，及时处理。对草坪低洼地块，冬季进行垫沙垫土工作、确保草坪排水畅通。</w:t>
      </w:r>
      <w:r>
        <w:rPr>
          <w:rFonts w:hint="eastAsia" w:ascii="宋体" w:hAnsi="宋体" w:eastAsia="宋体" w:cs="宋体"/>
          <w:b w:val="0"/>
          <w:bCs w:val="0"/>
          <w:color w:val="000000"/>
          <w:spacing w:val="2"/>
          <w:sz w:val="24"/>
          <w:szCs w:val="24"/>
          <w:highlight w:val="none"/>
          <w:u w:val="none"/>
          <w:lang w:eastAsia="zh-CN"/>
        </w:rPr>
      </w:r>
      <w:r/>
    </w:p>
    <w:p>
      <w:pPr>
        <w:pStyle w:val="825"/>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6、补植：对因生长不良造成的残缺花草、树木及时补植恢复，能满足植物生长的条件下无黄土裸露；无明显沟缝，色块草坪无斑秃。</w:t>
      </w:r>
      <w:r>
        <w:rPr>
          <w:rFonts w:hint="eastAsia" w:ascii="宋体" w:hAnsi="宋体" w:eastAsia="宋体" w:cs="宋体"/>
          <w:b w:val="0"/>
          <w:bCs w:val="0"/>
          <w:color w:val="000000"/>
          <w:spacing w:val="2"/>
          <w:sz w:val="24"/>
          <w:szCs w:val="24"/>
          <w:highlight w:val="none"/>
          <w:u w:val="none"/>
          <w:lang w:eastAsia="zh-CN"/>
        </w:rPr>
      </w:r>
      <w:r/>
    </w:p>
    <w:p>
      <w:pPr>
        <w:pStyle w:val="825"/>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7、如采购人需要种植草花或籽播花籽，供应商同时须负责养护区域内的草花栽植或播种工作，需要更换草花或籽播花籽的区域每次更换前由供应商及时以工作联系单的形式(包括草花和籽播的品种)报给采购人，并记录次数，年底统一结算时按实际更换次数结算，费用另外单独结算。并备有余量，发生死亡或踩踏区域及时进行修补，修补的量包含在报价中，不另计费。</w:t>
      </w:r>
      <w:r>
        <w:rPr>
          <w:rFonts w:hint="eastAsia" w:ascii="宋体" w:hAnsi="宋体" w:eastAsia="宋体" w:cs="宋体"/>
          <w:b w:val="0"/>
          <w:bCs w:val="0"/>
          <w:color w:val="000000"/>
          <w:spacing w:val="2"/>
          <w:sz w:val="24"/>
          <w:szCs w:val="24"/>
          <w:highlight w:val="none"/>
          <w:u w:val="none"/>
          <w:lang w:eastAsia="zh-CN"/>
        </w:rPr>
      </w:r>
      <w:r/>
    </w:p>
    <w:p>
      <w:pPr>
        <w:pStyle w:val="825"/>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8、修剪下来的树枝和杂草，当天垃圾要当天清运，不准就地焚烧和在养护区域内倾倒。</w:t>
      </w:r>
      <w:r>
        <w:rPr>
          <w:rFonts w:hint="eastAsia" w:ascii="宋体" w:hAnsi="宋体" w:eastAsia="宋体" w:cs="宋体"/>
          <w:b w:val="0"/>
          <w:bCs w:val="0"/>
          <w:color w:val="000000"/>
          <w:spacing w:val="2"/>
          <w:sz w:val="24"/>
          <w:szCs w:val="24"/>
          <w:highlight w:val="none"/>
          <w:u w:val="none"/>
          <w:lang w:eastAsia="zh-CN"/>
        </w:rPr>
      </w:r>
      <w:r/>
    </w:p>
    <w:p>
      <w:pPr>
        <w:pStyle w:val="825"/>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9、防风防汛：灾前积极预防，对树木加固，灾后及时清除倒树断枝、疏通道路，清理扶植，尽快恢复原状、以免影响交通人流，如因供应商原因在灾前没有做好树木加固工作而发生倒树，则扶植倒树发生的人工及机械费用由供应商承担。</w:t>
      </w:r>
      <w:r>
        <w:rPr>
          <w:rFonts w:hint="eastAsia" w:ascii="宋体" w:hAnsi="宋体" w:eastAsia="宋体" w:cs="宋体"/>
          <w:b w:val="0"/>
          <w:bCs w:val="0"/>
          <w:color w:val="000000"/>
          <w:spacing w:val="2"/>
          <w:sz w:val="24"/>
          <w:szCs w:val="24"/>
          <w:highlight w:val="none"/>
          <w:u w:val="none"/>
          <w:lang w:eastAsia="zh-CN"/>
        </w:rPr>
      </w:r>
      <w:r/>
    </w:p>
    <w:p>
      <w:pPr>
        <w:pStyle w:val="825"/>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10、供应商必须重视安全生产，确保不出安全责任事故。养护期间，由养护工作引起的养护工作人员或他人的人身损害和财产损失，供应商应承担由此引起的一切责任和由此引发的一切经济损失，与采购人无涉。</w:t>
      </w:r>
      <w:r>
        <w:rPr>
          <w:rFonts w:hint="eastAsia" w:ascii="宋体" w:hAnsi="宋体" w:eastAsia="宋体" w:cs="宋体"/>
          <w:b w:val="0"/>
          <w:bCs w:val="0"/>
          <w:color w:val="000000"/>
          <w:spacing w:val="2"/>
          <w:sz w:val="24"/>
          <w:szCs w:val="24"/>
          <w:highlight w:val="none"/>
          <w:u w:val="none"/>
          <w:lang w:eastAsia="zh-CN"/>
        </w:rPr>
      </w:r>
      <w:r/>
    </w:p>
    <w:p>
      <w:pPr>
        <w:pStyle w:val="825"/>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11、为确保养护质量，供应商需落实专人进行动态养护管理，着装上岗，全天候作业。</w:t>
      </w:r>
      <w:r>
        <w:rPr>
          <w:rFonts w:hint="eastAsia" w:ascii="宋体" w:hAnsi="宋体" w:eastAsia="宋体" w:cs="宋体"/>
          <w:b w:val="0"/>
          <w:bCs w:val="0"/>
          <w:color w:val="000000"/>
          <w:spacing w:val="2"/>
          <w:sz w:val="24"/>
          <w:szCs w:val="24"/>
          <w:highlight w:val="none"/>
          <w:u w:val="none"/>
          <w:lang w:eastAsia="zh-CN"/>
        </w:rPr>
      </w:r>
      <w:r/>
    </w:p>
    <w:p>
      <w:pPr>
        <w:pStyle w:val="825"/>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12、因不可抗拒因素(如由于台风、暴雨、大雪等自然灾害引起树木突然倒塌，碰线、碰屋、非养护原因造成的树枝伤人、伤物)，供应商在接到采购人通知后应迅速组织力量，半小时内到达现场并及时处理。因不可抗拒因素导致树木损害的修复、清运、补种等发生的处理费用由采购人承担。</w:t>
      </w:r>
      <w:r>
        <w:rPr>
          <w:rFonts w:hint="eastAsia" w:ascii="宋体" w:hAnsi="宋体" w:eastAsia="宋体" w:cs="宋体"/>
          <w:b w:val="0"/>
          <w:bCs w:val="0"/>
          <w:color w:val="000000"/>
          <w:spacing w:val="2"/>
          <w:sz w:val="24"/>
          <w:szCs w:val="24"/>
          <w:highlight w:val="none"/>
          <w:u w:val="none"/>
          <w:lang w:eastAsia="zh-CN"/>
        </w:rPr>
      </w:r>
      <w:r/>
    </w:p>
    <w:p>
      <w:pPr>
        <w:pStyle w:val="825"/>
        <w:ind w:firstLine="488"/>
        <w:pageBreakBefore w:val="0"/>
        <w:spacing w:line="360" w:lineRule="auto"/>
        <w:widowControl w:val="off"/>
        <w:rPr>
          <w:rFonts w:hint="eastAsia" w:ascii="宋体" w:hAnsi="宋体" w:eastAsia="宋体" w:cs="宋体"/>
          <w:b w:val="0"/>
          <w:bCs w:val="0"/>
          <w:color w:val="000000"/>
          <w:spacing w:val="2"/>
          <w:sz w:val="24"/>
          <w:szCs w:val="24"/>
          <w:highlight w:val="none"/>
          <w:u w:val="none"/>
          <w:lang w:eastAsia="zh-CN"/>
        </w:rPr>
      </w:pPr>
      <w:r>
        <w:rPr>
          <w:rFonts w:hint="eastAsia" w:ascii="宋体" w:hAnsi="宋体" w:eastAsia="宋体" w:cs="宋体"/>
          <w:b w:val="0"/>
          <w:bCs w:val="0"/>
          <w:color w:val="000000"/>
          <w:spacing w:val="2"/>
          <w:sz w:val="24"/>
          <w:szCs w:val="24"/>
          <w:highlight w:val="none"/>
          <w:u w:val="none"/>
          <w:lang w:eastAsia="zh-CN"/>
        </w:rPr>
        <w:t xml:space="preserve">13、在日常养护期间，供应商必须无条件服从采购人提出的整改指令，一经发现问题或开出整改通知单，必须在24小时内赶往现场查看并响应整改指令。</w:t>
      </w:r>
      <w:r>
        <w:rPr>
          <w:rFonts w:hint="eastAsia" w:ascii="宋体" w:hAnsi="宋体" w:eastAsia="宋体" w:cs="宋体"/>
          <w:b w:val="0"/>
          <w:bCs w:val="0"/>
          <w:color w:val="000000"/>
          <w:spacing w:val="2"/>
          <w:sz w:val="24"/>
          <w:szCs w:val="24"/>
          <w:highlight w:val="none"/>
          <w:u w:val="none"/>
          <w:lang w:eastAsia="zh-CN"/>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b w:val="0"/>
          <w:bCs w:val="0"/>
          <w:color w:val="000000"/>
          <w:spacing w:val="2"/>
          <w:sz w:val="24"/>
          <w:szCs w:val="24"/>
          <w:highlight w:val="none"/>
          <w:u w:val="none"/>
          <w:lang w:eastAsia="zh-CN"/>
        </w:rPr>
        <w:t xml:space="preserve">14、发生绿化被偷盗、挖掘、毁坏的，及时上报。未及时上报而造成的损失由供应商承担</w:t>
      </w:r>
      <w:r>
        <w:rPr>
          <w:rFonts w:hint="eastAsia" w:ascii="宋体" w:hAnsi="宋体" w:eastAsia="宋体" w:cs="宋体"/>
          <w:spacing w:val="2"/>
          <w:sz w:val="24"/>
          <w:highlight w:val="none"/>
          <w:lang w:val="en-US" w:eastAsia="zh-CN"/>
        </w:rPr>
        <w:t xml:space="preserve">。</w:t>
      </w:r>
      <w:r>
        <w:rPr>
          <w:rFonts w:hint="eastAsia" w:ascii="宋体" w:hAnsi="宋体" w:eastAsia="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15、其他要求：</w:t>
      </w:r>
      <w:r>
        <w:rPr>
          <w:rFonts w:hint="eastAsia" w:ascii="宋体" w:hAnsi="宋体" w:eastAsia="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1）.因突发事件及重大活动，采购人有权调动供应商人员、设备，供应商应服从安排予以配合。</w:t>
      </w:r>
      <w:r>
        <w:rPr>
          <w:rFonts w:hint="eastAsia" w:ascii="宋体" w:hAnsi="宋体" w:eastAsia="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2</w:t>
      </w:r>
      <w:r>
        <w:rPr>
          <w:rFonts w:hint="eastAsia" w:ascii="宋体" w:hAnsi="宋体" w:eastAsia="宋体" w:cs="宋体"/>
          <w:spacing w:val="2"/>
          <w:sz w:val="24"/>
          <w:highlight w:val="none"/>
          <w:lang w:val="en-US" w:eastAsia="zh-CN"/>
        </w:rPr>
        <w:t xml:space="preserve">）</w:t>
      </w:r>
      <w:r>
        <w:rPr>
          <w:rFonts w:hint="eastAsia" w:ascii="宋体" w:hAnsi="宋体" w:eastAsia="宋体" w:cs="宋体"/>
          <w:spacing w:val="2"/>
          <w:sz w:val="24"/>
          <w:highlight w:val="none"/>
          <w:lang w:val="en-US" w:eastAsia="zh-CN"/>
        </w:rPr>
        <w:t xml:space="preserve">.供应商根据绿地养护作业技术规范、绿化养护作业质量标准和有关要求，积极主动保质保量地完成绿化养护作业工作。</w:t>
      </w:r>
      <w:r>
        <w:rPr>
          <w:rFonts w:hint="eastAsia" w:ascii="宋体" w:hAnsi="宋体" w:eastAsia="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3</w:t>
      </w:r>
      <w:r>
        <w:rPr>
          <w:rFonts w:hint="eastAsia" w:ascii="宋体" w:hAnsi="宋体" w:eastAsia="宋体" w:cs="宋体"/>
          <w:spacing w:val="2"/>
          <w:sz w:val="24"/>
          <w:highlight w:val="none"/>
          <w:lang w:val="en-US" w:eastAsia="zh-CN"/>
        </w:rPr>
        <w:t xml:space="preserve">）</w:t>
      </w:r>
      <w:r>
        <w:rPr>
          <w:rFonts w:hint="eastAsia" w:ascii="宋体" w:hAnsi="宋体" w:eastAsia="宋体" w:cs="宋体"/>
          <w:spacing w:val="2"/>
          <w:sz w:val="24"/>
          <w:highlight w:val="none"/>
          <w:lang w:val="en-US" w:eastAsia="zh-CN"/>
        </w:rPr>
        <w:t xml:space="preserve">.供应商应接受并主动配合采购人及行业管理部门的检查并做好各项台账资料。</w:t>
      </w:r>
      <w:r>
        <w:rPr>
          <w:rFonts w:hint="eastAsia" w:ascii="宋体" w:hAnsi="宋体" w:eastAsia="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4</w:t>
      </w:r>
      <w:r>
        <w:rPr>
          <w:rFonts w:hint="eastAsia" w:ascii="宋体" w:hAnsi="宋体" w:eastAsia="宋体" w:cs="宋体"/>
          <w:spacing w:val="2"/>
          <w:sz w:val="24"/>
          <w:highlight w:val="none"/>
          <w:lang w:val="en-US" w:eastAsia="zh-CN"/>
        </w:rPr>
        <w:t xml:space="preserve">）</w:t>
      </w:r>
      <w:r>
        <w:rPr>
          <w:rFonts w:hint="eastAsia" w:ascii="宋体" w:hAnsi="宋体" w:eastAsia="宋体" w:cs="宋体"/>
          <w:spacing w:val="2"/>
          <w:sz w:val="24"/>
          <w:highlight w:val="none"/>
          <w:lang w:val="en-US" w:eastAsia="zh-CN"/>
        </w:rPr>
        <w:t xml:space="preserve">.供应商在养护作业过程中应采取养护施工作业安全措施，确保工程及其人员、材料、设备和设施的安全，防止因养护施工作业造成的自身和第三者人身伤害和财产损失。</w:t>
      </w:r>
      <w:r>
        <w:rPr>
          <w:rFonts w:hint="eastAsia" w:ascii="宋体" w:hAnsi="宋体" w:eastAsia="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5</w:t>
      </w:r>
      <w:r>
        <w:rPr>
          <w:rFonts w:hint="eastAsia" w:ascii="宋体" w:hAnsi="宋体" w:eastAsia="宋体" w:cs="宋体"/>
          <w:spacing w:val="2"/>
          <w:sz w:val="24"/>
          <w:highlight w:val="none"/>
          <w:lang w:val="en-US" w:eastAsia="zh-CN"/>
        </w:rPr>
        <w:t xml:space="preserve">）</w:t>
      </w:r>
      <w:r>
        <w:rPr>
          <w:rFonts w:hint="eastAsia" w:ascii="宋体" w:hAnsi="宋体" w:eastAsia="宋体" w:cs="宋体"/>
          <w:spacing w:val="2"/>
          <w:sz w:val="24"/>
          <w:highlight w:val="none"/>
          <w:lang w:val="en-US" w:eastAsia="zh-CN"/>
        </w:rPr>
        <w:t xml:space="preserve">.供应商应对其履行合同所雇佣的全部人员购买人身意外伤害险并对其工伤事故承担责任。</w:t>
      </w:r>
      <w:r>
        <w:rPr>
          <w:rFonts w:hint="eastAsia" w:ascii="宋体" w:hAnsi="宋体" w:eastAsia="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6</w:t>
      </w:r>
      <w:r>
        <w:rPr>
          <w:rFonts w:hint="eastAsia" w:ascii="宋体" w:hAnsi="宋体" w:eastAsia="宋体" w:cs="宋体"/>
          <w:spacing w:val="2"/>
          <w:sz w:val="24"/>
          <w:highlight w:val="none"/>
          <w:lang w:val="en-US" w:eastAsia="zh-CN"/>
        </w:rPr>
        <w:t xml:space="preserve">）</w:t>
      </w:r>
      <w:r>
        <w:rPr>
          <w:rFonts w:hint="eastAsia" w:ascii="宋体" w:hAnsi="宋体" w:eastAsia="宋体" w:cs="宋体"/>
          <w:spacing w:val="2"/>
          <w:sz w:val="24"/>
          <w:highlight w:val="none"/>
          <w:lang w:val="en-US" w:eastAsia="zh-CN"/>
        </w:rPr>
        <w:t xml:space="preserve">.由于供应商原因在施工场地内及其毗邻地带造成的第三者人员伤亡和财产损失，由供应商负责赔偿。</w:t>
      </w:r>
      <w:r>
        <w:rPr>
          <w:rFonts w:hint="eastAsia" w:ascii="宋体" w:hAnsi="宋体" w:eastAsia="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7</w:t>
      </w:r>
      <w:r>
        <w:rPr>
          <w:rFonts w:hint="eastAsia" w:ascii="宋体" w:hAnsi="宋体" w:eastAsia="宋体" w:cs="宋体"/>
          <w:spacing w:val="2"/>
          <w:sz w:val="24"/>
          <w:highlight w:val="none"/>
          <w:lang w:val="en-US" w:eastAsia="zh-CN"/>
        </w:rPr>
        <w:t xml:space="preserve">）</w:t>
      </w:r>
      <w:r>
        <w:rPr>
          <w:rFonts w:hint="eastAsia" w:ascii="宋体" w:hAnsi="宋体" w:eastAsia="宋体" w:cs="宋体"/>
          <w:spacing w:val="2"/>
          <w:sz w:val="24"/>
          <w:highlight w:val="none"/>
          <w:lang w:val="en-US" w:eastAsia="zh-CN"/>
        </w:rPr>
        <w:t xml:space="preserve">.合同结束期三个月前，供应商应进行缺陷责任期补种、重新清点苗木清单等。</w:t>
      </w:r>
      <w:r>
        <w:rPr>
          <w:rFonts w:hint="eastAsia" w:ascii="宋体" w:hAnsi="宋体" w:eastAsia="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8</w:t>
      </w:r>
      <w:r>
        <w:rPr>
          <w:rFonts w:hint="eastAsia" w:ascii="宋体" w:hAnsi="宋体" w:eastAsia="宋体" w:cs="宋体"/>
          <w:spacing w:val="2"/>
          <w:sz w:val="24"/>
          <w:highlight w:val="none"/>
          <w:lang w:val="en-US" w:eastAsia="zh-CN"/>
        </w:rPr>
        <w:t xml:space="preserve">）</w:t>
      </w:r>
      <w:r>
        <w:rPr>
          <w:rFonts w:hint="eastAsia" w:ascii="宋体" w:hAnsi="宋体" w:eastAsia="宋体" w:cs="宋体"/>
          <w:spacing w:val="2"/>
          <w:sz w:val="24"/>
          <w:highlight w:val="none"/>
          <w:lang w:val="en-US" w:eastAsia="zh-CN"/>
        </w:rPr>
        <w:t xml:space="preserve">.供应商需配备专职巡查人员，就下列项目展开巡查工作，专职巡视资料员日常巡查内容：</w:t>
      </w:r>
      <w:r>
        <w:rPr>
          <w:rFonts w:hint="eastAsia" w:ascii="宋体" w:hAnsi="宋体" w:eastAsia="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（1）作业区域有无私开、私挖现象；</w:t>
      </w:r>
      <w:r>
        <w:rPr>
          <w:rFonts w:hint="eastAsia" w:ascii="宋体" w:hAnsi="宋体" w:eastAsia="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（2）作业区域内各类绿化植物有无非供应商人员修剪现象和过度修剪现象；</w:t>
      </w:r>
      <w:r>
        <w:rPr>
          <w:rFonts w:hint="eastAsia" w:ascii="宋体" w:hAnsi="宋体" w:eastAsia="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（3）作业区域内有无苗木偷盗、绿化带毁绿种菜现象；</w:t>
      </w:r>
      <w:r>
        <w:rPr>
          <w:rFonts w:hint="eastAsia" w:ascii="宋体" w:hAnsi="宋体" w:eastAsia="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（4）作业区域内有无苗木死亡、空秃及病虫害现象；</w:t>
      </w:r>
      <w:r>
        <w:rPr>
          <w:rFonts w:hint="eastAsia" w:ascii="宋体" w:hAnsi="宋体" w:eastAsia="宋体" w:cs="宋体"/>
          <w:spacing w:val="2"/>
          <w:sz w:val="24"/>
          <w:highlight w:val="none"/>
          <w:lang w:val="en-US" w:eastAsia="zh-CN"/>
        </w:rPr>
      </w:r>
      <w:r/>
    </w:p>
    <w:p>
      <w:pPr>
        <w:pStyle w:val="825"/>
        <w:ind w:firstLine="488"/>
        <w:pageBreakBefore w:val="0"/>
        <w:spacing w:line="360" w:lineRule="auto"/>
        <w:widowControl w:val="off"/>
        <w:rPr>
          <w:lang w:val="en-US" w:eastAsia="zh-CN"/>
        </w:rPr>
      </w:pPr>
      <w:r>
        <w:rPr>
          <w:rFonts w:hint="eastAsia" w:ascii="宋体" w:hAnsi="宋体" w:eastAsia="宋体" w:cs="宋体"/>
          <w:spacing w:val="2"/>
          <w:sz w:val="24"/>
          <w:highlight w:val="none"/>
          <w:lang w:val="en-US" w:eastAsia="zh-CN"/>
        </w:rPr>
        <w:t xml:space="preserve">（5）其他各类采购人另行规定的巡查内容。</w:t>
      </w:r>
      <w:r>
        <w:rPr>
          <w:lang w:val="en-US" w:eastAsia="zh-CN"/>
        </w:rPr>
      </w:r>
      <w:r/>
    </w:p>
    <w:p>
      <w:pPr>
        <w:pStyle w:val="825"/>
        <w:ind w:right="210"/>
        <w:jc w:val="left"/>
        <w:pageBreakBefore w:val="0"/>
        <w:spacing w:line="360" w:lineRule="auto"/>
        <w:widowControl w:val="off"/>
        <w:rPr>
          <w:rFonts w:hint="eastAsia" w:ascii="宋体" w:hAnsi="宋体" w:cs="宋体"/>
          <w:b/>
          <w:sz w:val="24"/>
          <w:highlight w:val="none"/>
        </w:rPr>
      </w:pPr>
      <w:r>
        <w:rPr>
          <w:rFonts w:hint="eastAsia" w:ascii="宋体" w:hAnsi="宋体" w:cs="宋体"/>
          <w:b/>
          <w:sz w:val="24"/>
          <w:highlight w:val="none"/>
          <w:lang w:val="en-US" w:eastAsia="zh-CN"/>
        </w:rPr>
        <w:t xml:space="preserve">六、</w:t>
      </w:r>
      <w:r>
        <w:rPr>
          <w:rFonts w:hint="eastAsia" w:ascii="宋体" w:hAnsi="宋体" w:cs="宋体"/>
          <w:b/>
          <w:sz w:val="24"/>
          <w:highlight w:val="none"/>
        </w:rPr>
        <w:t xml:space="preserve">人员配置要求</w:t>
      </w:r>
      <w:r>
        <w:rPr>
          <w:rFonts w:hint="eastAsia" w:ascii="宋体" w:hAnsi="宋体" w:cs="宋体"/>
          <w:b/>
          <w:sz w:val="24"/>
          <w:highlight w:val="none"/>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1.本项目须配备一名绿化管养负责人及一名环卫保洁项目负责人，同时养护作业人员应持有绿化养护相关职业资格证书或具备同等实践经验。</w:t>
      </w:r>
      <w:r>
        <w:rPr>
          <w:rFonts w:hint="eastAsia" w:ascii="宋体" w:hAnsi="宋体" w:eastAsia="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2.养护作业人员女性年龄需55周岁以下，男性需在65周岁以下，应具有一定的绿化养护经验。</w:t>
      </w:r>
      <w:r>
        <w:rPr>
          <w:rFonts w:hint="eastAsia" w:ascii="宋体" w:hAnsi="宋体" w:eastAsia="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3.工作时间段：6:00-18:00。</w:t>
      </w:r>
      <w:r>
        <w:rPr>
          <w:rFonts w:hint="eastAsia" w:ascii="宋体" w:hAnsi="宋体" w:eastAsia="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4.养护作业人员应统一着装上岗，制服应有反光标志，颜色应以黄、红等视觉明显的色调为宜。背后应印有“XXX绿化养护+单位名称（全、简称均可）”的醒目字样。</w:t>
      </w:r>
      <w:r>
        <w:rPr>
          <w:rFonts w:hint="eastAsia" w:ascii="宋体" w:hAnsi="宋体" w:eastAsia="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5.确保安全、文明施工原则。养护作业应注意自身和第三方的施工操作人员和行人的安全，注意不损害周边市政设施和建筑物，不影响市容环境。做好各项围护、防护措施，配合采购人的管理。养护工作中确保零安全事故，如有由成交供应商自行承担。</w:t>
      </w:r>
      <w:r>
        <w:rPr>
          <w:rFonts w:hint="eastAsia" w:ascii="宋体" w:hAnsi="宋体" w:eastAsia="宋体" w:cs="宋体"/>
          <w:spacing w:val="2"/>
          <w:sz w:val="24"/>
          <w:highlight w:val="none"/>
          <w:lang w:val="en-US" w:eastAsia="zh-CN"/>
        </w:rPr>
      </w:r>
      <w:r/>
    </w:p>
    <w:p>
      <w:pPr>
        <w:pStyle w:val="825"/>
        <w:ind w:firstLine="488"/>
        <w:pageBreakBefore w:val="0"/>
        <w:spacing w:line="360" w:lineRule="auto"/>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6.参加养护的供应商，应具备应急抢险机制与能力，按110联动要求，能在出险半小时内到达现场组织抢险。</w:t>
      </w:r>
      <w:r>
        <w:rPr>
          <w:rFonts w:hint="eastAsia" w:ascii="宋体" w:hAnsi="宋体" w:eastAsia="宋体" w:cs="宋体"/>
          <w:spacing w:val="2"/>
          <w:sz w:val="24"/>
          <w:highlight w:val="none"/>
          <w:lang w:val="en-US" w:eastAsia="zh-CN"/>
        </w:rPr>
      </w:r>
      <w:r/>
    </w:p>
    <w:p>
      <w:pPr>
        <w:pStyle w:val="825"/>
        <w:numPr>
          <w:ilvl w:val="0"/>
          <w:numId w:val="0"/>
        </w:numPr>
        <w:pageBreakBefore w:val="0"/>
        <w:spacing w:line="360" w:lineRule="auto"/>
        <w:widowControl w:val="off"/>
        <w:rPr>
          <w:rFonts w:ascii="宋体" w:hAnsi="宋体" w:eastAsia="宋体" w:cs="宋体"/>
          <w:sz w:val="24"/>
          <w:highlight w:val="none"/>
          <w:lang w:val="en-US" w:eastAsia="zh-CN"/>
        </w:rPr>
      </w:pPr>
      <w:r>
        <w:rPr>
          <w:rFonts w:hint="eastAsia" w:ascii="宋体" w:hAnsi="宋体" w:eastAsia="宋体" w:cs="宋体"/>
          <w:b/>
          <w:sz w:val="24"/>
          <w:highlight w:val="none"/>
          <w:lang w:val="en-US" w:eastAsia="zh-CN"/>
        </w:rPr>
        <w:t xml:space="preserve">七、报价方式</w:t>
      </w:r>
      <w:r>
        <w:rPr>
          <w:rFonts w:ascii="宋体" w:hAnsi="宋体" w:eastAsia="宋体" w:cs="宋体"/>
          <w:sz w:val="24"/>
          <w:highlight w:val="none"/>
          <w:lang w:val="en-US" w:eastAsia="zh-CN"/>
        </w:rPr>
      </w:r>
      <w:r/>
    </w:p>
    <w:p>
      <w:pPr>
        <w:pStyle w:val="825"/>
        <w:numPr>
          <w:ilvl w:val="0"/>
          <w:numId w:val="0"/>
        </w:numPr>
        <w:ind w:firstLine="48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本项目报价为全费用固定单价。</w:t>
      </w:r>
      <w:r>
        <w:rPr>
          <w:rFonts w:hint="eastAsia" w:ascii="宋体" w:hAnsi="宋体" w:eastAsia="宋体" w:cs="宋体"/>
          <w:b/>
          <w:bCs/>
          <w:sz w:val="24"/>
          <w:highlight w:val="none"/>
          <w:lang w:val="en-US" w:eastAsia="zh-CN"/>
        </w:rPr>
        <w:t xml:space="preserve">供应商</w:t>
      </w:r>
      <w:r>
        <w:rPr>
          <w:rFonts w:hint="eastAsia" w:ascii="宋体" w:hAnsi="宋体" w:eastAsia="宋体" w:cs="宋体"/>
          <w:b/>
          <w:bCs/>
          <w:sz w:val="24"/>
          <w:highlight w:val="none"/>
        </w:rPr>
        <w:t xml:space="preserve">投标报价时</w:t>
      </w:r>
      <w:r>
        <w:rPr>
          <w:rFonts w:hint="eastAsia" w:ascii="宋体" w:hAnsi="宋体" w:eastAsia="宋体" w:cs="宋体"/>
          <w:b/>
          <w:bCs/>
          <w:sz w:val="24"/>
          <w:highlight w:val="none"/>
          <w:lang w:val="en-US" w:eastAsia="zh-CN"/>
        </w:rPr>
        <w:t xml:space="preserve">须注意</w:t>
      </w:r>
      <w:r>
        <w:rPr>
          <w:rFonts w:hint="eastAsia" w:ascii="宋体" w:hAnsi="宋体" w:eastAsia="宋体" w:cs="宋体"/>
          <w:b/>
          <w:bCs/>
          <w:sz w:val="24"/>
          <w:highlight w:val="none"/>
        </w:rPr>
        <w:t xml:space="preserve">投标总价不得高于项目最高限价，投标单价不得高于全费用综合单价限价，否则作为无效响应处理。</w:t>
      </w:r>
      <w:r>
        <w:rPr>
          <w:rFonts w:hint="eastAsia" w:ascii="宋体" w:hAnsi="宋体" w:eastAsia="宋体" w:cs="宋体"/>
          <w:sz w:val="24"/>
          <w:highlight w:val="none"/>
        </w:rPr>
        <w:t xml:space="preserve">供应商应结合招标文件及方案中采购项目的要求和有关说明，自行组织现场踏勘，并估算完成本项目可能发生的所有费用，然后报价。报价应包括但不限于</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文件所确定的招标范围相应服务所需的人工、材料、肥料</w:t>
      </w:r>
      <w:r>
        <w:rPr>
          <w:rFonts w:hint="eastAsia" w:ascii="宋体" w:hAnsi="宋体" w:eastAsia="宋体" w:cs="宋体"/>
          <w:sz w:val="24"/>
          <w:highlight w:val="none"/>
          <w:lang w:val="en-US" w:eastAsia="zh-CN"/>
        </w:rPr>
        <w:t xml:space="preserve">费</w:t>
      </w:r>
      <w:r>
        <w:rPr>
          <w:rFonts w:hint="eastAsia" w:ascii="宋体" w:hAnsi="宋体" w:eastAsia="宋体" w:cs="宋体"/>
          <w:sz w:val="24"/>
          <w:highlight w:val="none"/>
        </w:rPr>
        <w:t xml:space="preserve">、各种药剂费</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办公场所及设施、管理费、培训费、利润、各种税费、委外、风险费用等一切费用等全部实施内容的费用。除不可抗力因素外，在</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文件、方案规定的项目和内容范围内实行</w:t>
      </w:r>
      <w:r>
        <w:rPr>
          <w:rFonts w:hint="eastAsia" w:ascii="宋体" w:hAnsi="宋体" w:eastAsia="宋体" w:cs="宋体"/>
          <w:sz w:val="24"/>
          <w:highlight w:val="none"/>
          <w:lang w:val="en-US" w:eastAsia="zh-CN"/>
        </w:rPr>
        <w:t xml:space="preserve">全费用单价</w:t>
      </w:r>
      <w:r>
        <w:rPr>
          <w:rFonts w:hint="eastAsia" w:ascii="宋体" w:hAnsi="宋体" w:eastAsia="宋体" w:cs="宋体"/>
          <w:sz w:val="24"/>
          <w:highlight w:val="none"/>
        </w:rPr>
        <w:t xml:space="preserve">包干，招标文件及方案规定的实施项目均含在乙方的报价中。实施量必须经发包人及监理单位签证确定，同时发包人同意增加、减少、变更的项目，其价格应予以相应调整</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r>
      <w:r/>
    </w:p>
    <w:p>
      <w:pPr>
        <w:pStyle w:val="825"/>
        <w:contextualSpacing/>
        <w:ind w:firstLine="480"/>
        <w:keepLines w:val="0"/>
        <w:keepNext w:val="0"/>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p>
      <w:pPr>
        <w:pStyle w:val="825"/>
        <w:jc w:val="both"/>
        <w:keepLines w:val="0"/>
        <w:keepNext w:val="0"/>
        <w:widowControl/>
        <w:rPr>
          <w:b/>
          <w:sz w:val="36"/>
          <w:szCs w:val="36"/>
          <w:highlight w:val="none"/>
        </w:rPr>
        <w:sectPr>
          <w:footnotePr/>
          <w:endnotePr/>
          <w:type w:val="nextPage"/>
          <w:pgSz w:w="11906" w:h="16838" w:orient="portrait"/>
          <w:pgMar w:top="1440" w:right="1800" w:bottom="1440" w:left="1800" w:header="851" w:footer="992" w:gutter="0"/>
          <w:cols w:num="1" w:sep="0" w:space="1701" w:equalWidth="1"/>
          <w:docGrid w:linePitch="360"/>
        </w:sectPr>
        <w:suppressLineNumbers w:val="0"/>
      </w:pPr>
      <w:r/>
      <w:bookmarkEnd w:id="806"/>
      <w:r>
        <w:rPr>
          <w:b/>
          <w:sz w:val="36"/>
          <w:szCs w:val="36"/>
          <w:highlight w:val="none"/>
        </w:rPr>
      </w:r>
      <w:r/>
    </w:p>
    <w:p>
      <w:pPr>
        <w:pStyle w:val="825"/>
        <w:contextualSpacing/>
        <w:keepLines w:val="0"/>
        <w:keepNext w:val="0"/>
        <w:pageBreakBefore/>
        <w:spacing w:line="500" w:lineRule="exact"/>
        <w:widowControl w:val="off"/>
        <w:tabs>
          <w:tab w:val="left" w:pos="567" w:leader="none"/>
          <w:tab w:val="left" w:pos="1134" w:leader="none"/>
        </w:tabs>
        <w:rPr>
          <w:rFonts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附件1：2026年滨开区绿化管护服务项目相关养护附件</w:t>
      </w:r>
      <w:r>
        <w:rPr>
          <w:rFonts w:ascii="宋体" w:hAnsi="宋体" w:cs="宋体"/>
          <w:b/>
          <w:bCs w:val="0"/>
          <w:color w:val="000000"/>
          <w:sz w:val="24"/>
          <w:highlight w:val="none"/>
          <w:lang w:val="en-US" w:eastAsia="zh-CN"/>
        </w:rPr>
      </w:r>
      <w:r/>
    </w:p>
    <w:p>
      <w:pPr>
        <w:pStyle w:val="825"/>
        <w:contextualSpacing/>
        <w:jc w:val="both"/>
        <w:keepLines w:val="0"/>
        <w:keepNext w:val="0"/>
        <w:pageBreakBefore w:val="0"/>
        <w:spacing w:line="500" w:lineRule="exact"/>
        <w:tabs>
          <w:tab w:val="left" w:pos="567" w:leader="none"/>
          <w:tab w:val="left" w:pos="1134" w:leader="none"/>
        </w:tabs>
        <w:rPr>
          <w:rFonts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附件1.1</w:t>
      </w:r>
      <w:r>
        <w:rPr>
          <w:rFonts w:ascii="宋体" w:hAnsi="宋体" w:cs="宋体"/>
          <w:b/>
          <w:bCs w:val="0"/>
          <w:color w:val="000000"/>
          <w:sz w:val="24"/>
          <w:highlight w:val="none"/>
          <w:lang w:val="en-US" w:eastAsia="zh-CN"/>
        </w:rPr>
      </w:r>
      <w:r/>
    </w:p>
    <w:p>
      <w:pPr>
        <w:pStyle w:val="825"/>
        <w:contextualSpacing/>
        <w:jc w:val="center"/>
        <w:keepLines w:val="0"/>
        <w:keepNext w:val="0"/>
        <w:pageBreakBefore w:val="0"/>
        <w:spacing w:line="500" w:lineRule="exact"/>
        <w:tabs>
          <w:tab w:val="left" w:pos="567" w:leader="none"/>
          <w:tab w:val="left" w:pos="1134" w:leader="none"/>
        </w:tabs>
        <w:rPr>
          <w:rFonts w:ascii="宋体" w:hAnsi="宋体" w:eastAsia="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绿化养护技术规程</w:t>
      </w:r>
      <w:r>
        <w:rPr>
          <w:rFonts w:ascii="宋体" w:hAnsi="宋体" w:eastAsia="宋体" w:cs="宋体"/>
          <w:b/>
          <w:bCs w:val="0"/>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1．养护机械设备要求</w:t>
      </w:r>
      <w:r>
        <w:rPr>
          <w:rFonts w:hint="eastAsia" w:ascii="宋体" w:hAnsi="宋体" w:eastAsia="宋体" w:cs="宋体"/>
          <w:b/>
          <w:bCs w:val="0"/>
          <w:color w:val="000000"/>
          <w:sz w:val="24"/>
          <w:highlight w:val="none"/>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（1）巡视车</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用于路段巡视车辆,应便于禁区出行及停放方便。</w:t>
      </w:r>
      <w:r>
        <w:rPr>
          <w:rFonts w:hint="eastAsia" w:ascii="宋体" w:hAnsi="宋体" w:eastAsia="宋体" w:cs="宋体"/>
          <w:bCs/>
          <w:color w:val="000000"/>
          <w:sz w:val="24"/>
          <w:highlight w:val="none"/>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（2）清运货车(常州牌照) 每个养护等级必须按下列车辆、设备一览表中数量要求，每天固定清运卡车用于路段清运垃圾，严禁在特级、一级、二级、三级养护标段上使用农用车或拖拉机。</w:t>
      </w:r>
      <w:r>
        <w:rPr>
          <w:rFonts w:hint="eastAsia" w:ascii="宋体" w:hAnsi="宋体" w:eastAsia="宋体" w:cs="宋体"/>
          <w:bCs/>
          <w:color w:val="000000"/>
          <w:sz w:val="24"/>
          <w:highlight w:val="none"/>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（3）水车必须是正规原装水车，并且为常州牌照。水车槽罐必须是原装不可拆卸，不允许使用私自改装的水车，禁止在正规水车槽罐上乱涂乱刷，具体式样参考附图。</w:t>
      </w:r>
      <w:r>
        <w:rPr>
          <w:rFonts w:hint="eastAsia" w:ascii="宋体" w:hAnsi="宋体" w:eastAsia="宋体" w:cs="宋体"/>
          <w:bCs/>
          <w:color w:val="000000"/>
          <w:sz w:val="24"/>
          <w:highlight w:val="none"/>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（4）登高车必须是正规原装登高车，最大举升高大于等于10米，具体式样参考附图。</w:t>
      </w:r>
      <w:r>
        <w:rPr>
          <w:rFonts w:hint="eastAsia" w:ascii="宋体" w:hAnsi="宋体" w:eastAsia="宋体" w:cs="宋体"/>
          <w:bCs/>
          <w:color w:val="000000"/>
          <w:sz w:val="24"/>
          <w:highlight w:val="none"/>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（5）打药工具 禁止使用卡车或农用车装载塑料白桶进行施药，具体打药工具样式参考附图。</w:t>
      </w:r>
      <w:r>
        <w:rPr>
          <w:rFonts w:hint="eastAsia" w:ascii="宋体" w:hAnsi="宋体" w:eastAsia="宋体" w:cs="宋体"/>
          <w:bCs/>
          <w:color w:val="000000"/>
          <w:sz w:val="24"/>
          <w:highlight w:val="none"/>
        </w:rPr>
      </w:r>
      <w:r/>
    </w:p>
    <w:p>
      <w:pPr>
        <w:pStyle w:val="825"/>
        <w:ind w:firstLine="422"/>
        <w:jc w:val="center"/>
        <w:keepLines w:val="0"/>
        <w:keepNext w:val="0"/>
        <w:pageBreakBefore w:val="0"/>
        <w:spacing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养护区域车辆、设备一览表</w:t>
      </w:r>
      <w:r>
        <w:rPr>
          <w:rFonts w:hint="eastAsia" w:ascii="宋体" w:hAnsi="宋体" w:eastAsia="宋体" w:cs="宋体"/>
          <w:b/>
          <w:color w:val="000000"/>
          <w:sz w:val="21"/>
          <w:szCs w:val="21"/>
          <w:highlight w:val="none"/>
        </w:rPr>
      </w:r>
      <w:r/>
    </w:p>
    <w:tbl>
      <w:tblPr>
        <w:tblW w:w="8520" w:type="dxa"/>
        <w:tblInd w:w="-155" w:type="dxa"/>
        <w:tblLayout w:type="fixed"/>
        <w:tblCellMar>
          <w:left w:w="108" w:type="dxa"/>
          <w:top w:w="0" w:type="dxa"/>
          <w:right w:w="108" w:type="dxa"/>
          <w:bottom w:w="0" w:type="dxa"/>
        </w:tblCellMar>
        <w:tblLook w:val="04A0" w:firstRow="1" w:lastRow="0" w:firstColumn="1" w:lastColumn="0" w:noHBand="0" w:noVBand="1"/>
      </w:tblPr>
      <w:tblGrid>
        <w:gridCol w:w="2385"/>
        <w:gridCol w:w="4590"/>
        <w:gridCol w:w="1545"/>
      </w:tblGrid>
      <w:tr>
        <w:trPr/>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25"/>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养护机械设备</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90" w:type="dxa"/>
            <w:vAlign w:val="center"/>
            <w:textDirection w:val="lrTb"/>
            <w:noWrap w:val="false"/>
          </w:tcPr>
          <w:p>
            <w:pPr>
              <w:pStyle w:val="825"/>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规格及用途</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数量（台）</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登高车</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90"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举升高度≥1</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米；修剪乔木</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水车</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90"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罐体体积≥3m³；</w:t>
            </w:r>
            <w:r>
              <w:rPr>
                <w:rFonts w:hint="eastAsia" w:ascii="宋体" w:hAnsi="宋体" w:eastAsia="宋体" w:cs="宋体"/>
                <w:color w:val="000000"/>
                <w:sz w:val="21"/>
                <w:szCs w:val="21"/>
                <w:highlight w:val="none"/>
              </w:rPr>
            </w:r>
            <w:r/>
          </w:p>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需原装水车（常州牌照）</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清运卡车</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90"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核载2吨及以上（常州牌照）</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巡视车</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90"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核载5人及以上</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草坪修剪车</w:t>
            </w:r>
            <w:r>
              <w:rPr>
                <w:rFonts w:hint="eastAsia" w:ascii="宋体" w:hAnsi="宋体" w:eastAsia="宋体" w:cs="宋体"/>
                <w:color w:val="000000"/>
                <w:sz w:val="21"/>
                <w:szCs w:val="21"/>
                <w:highlight w:val="none"/>
              </w:rPr>
            </w:r>
            <w:r/>
          </w:p>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（手推、自走）</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90"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用于修剪大面积高档草坪，功率≥5.5马力</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高枝锯剪</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90"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举升高度≥5米；修剪乔木</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绿篱修剪机</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90"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修剪绿篱用</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油锯</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90"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排气量≥30cc，切锯树木用</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割灌机</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90"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修剪草坪用，排量≥30cc</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背负式打药机</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90"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防治低矮绿化病虫害</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打药车</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90"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2.0~4.5MPa;射程≥15m</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水泵</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90"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出水口径80/3（mm/inch）</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打孔机</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90"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打孔深度5-6cm，孔径2cm</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疏草机</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90"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切根深度2cm左右</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背负式鼓风机</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90"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排气量≥77cc，功率≥3.6/6500kw/r/min</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825"/>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bl>
    <w:p>
      <w:pPr>
        <w:pStyle w:val="825"/>
        <w:contextualSpacing/>
        <w:ind w:firstLine="482"/>
        <w:keepLines w:val="0"/>
        <w:keepNext w:val="0"/>
        <w:pageBreakBefore w:val="0"/>
        <w:spacing w:line="500" w:lineRule="exact"/>
        <w:tabs>
          <w:tab w:val="left" w:pos="567" w:leader="none"/>
          <w:tab w:val="left" w:pos="1134"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2.绿化修剪</w:t>
      </w:r>
      <w:r>
        <w:rPr>
          <w:rFonts w:hint="eastAsia" w:ascii="宋体" w:hAnsi="宋体" w:cs="宋体"/>
          <w:b/>
          <w:bCs w:val="0"/>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修剪包括乔木、花木整形修剪、绿篱与色块的成型修剪和草坪的修剪等。这是保证绿化养护面貌的重要手段。</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2.1乔木</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乔木修剪根据乔木生长期分为休眠期整形修剪和生长期调整树势修剪。休眠期修剪一般安排在冬末至春初。其余月份以调整树势树形为主（包括剥芽、去蘖、疏枝等）。乔木修剪应根据树木本身生长习性与体现园林景观效果的要求进行，以疏密得当、通风透光、树型优美为主要感观标准。</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行道树主要分成杯状形（如香樟、悬铃木、栾树、榉树等无明显中央领导枝的）和中央领导干形（如银杏、水杉、雪松等）；孤值景观树以自然式整形为主。</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（1）凡主轴明显的树种，修剪时应注意保护中央领导枝，使其向上直立生长。原中央领导枝受损、折断，应利用顶端侧枝重新培养新的领导枝。 </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（2）应逐年调整树干与树冠的合理比例，适当抬高分枝点，不影响行人通行。同一树龄和品种的林地，分枝点高度应基本一致。位于林地边缘的树木分枝点可稍低于林内树木。 </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（3）针叶树应剪除基部垂地枝条，随树木生长可根据需要逐步提高分枝点，并保护主尖直立向上生长。 </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（4）银杏修剪只能疏枝，不准短截。对轮生枝可分阶段疏除。</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（5）各类乔木生长季节需及时剥芽，修剪内膛枝、徒长枝、病虫枝等。乔木基部至一级分枝点内无萌蘖枝。</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（6）切口必须靠节，剪口应在剪口芽的反侧呈45度倾斜。剪口要平整不劈不裂，涂抹防腐剂（剪口直径大于15公分以上时）。对于粗壮的大枝，应采取分段截枝法，防止撕裂树枝，并做好操作时的安全工作。</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（7）所有乔木休眠期修剪在2月底完成，春季修剪在植物生长开始前完成；修剪枝条等物及时清理，保持作业现场洁净。</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（8）发现病虫枝和枯枝24小时内处理完毕。</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2.2花木</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花木修剪要有利于短枝和花芽的形成，遵循“先上后下，先内后外，去弱留强，去老留新”的原则进行修剪。</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当年生枝条开花灌木，如：紫薇、木槿、月季、珍珠梅等，应在冬季或早春以短截和疏枝相结合方法进行修剪，为控制树木高度，对于生长健壮枝条应在保留3个~5个芽处短截，促发新枝。1年可数次开花的如月季、珍珠梅、紫薇等，花落后应及时剪去残花，一般在花下三片叶片处斜面修剪，促使再次开花。 </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（2）隔年生枝条开花的灌木，如：碧桃、榆叶梅、连翘等，休眠期适当整形修剪，生长季花落后10天~15天将已开花枝条进行中或重短截，疏剪过密枝，以利来年促生健壮新枝。 </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（3）多年生枝条开花灌木，如：紫荆、贴梗海棠等，应注意培育和保护老枝，剪除干扰树型并影响通风透光的过密枝、弱枝、枯枝或病虫枝。</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（4）观枝观叶植物如红瑞木、山麻杆等，应在早春萌动前抽出过密弱枝和枯老枝。</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（5）观果植物如木瓜海棠、石榴、山楂等，应及时摘心、抹芽和摘蕾，促使植物保持中庸树势，有利于花芽分化。</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（6）发现病、虫枝和枯枝24小时内处理完毕。 </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2.3绿篱、色块、灌木</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（1）灌木内膛小枝应适量疏剪，强壮枝进行适当短截，下垂细弱枝及地表萌生的地蘖应彻底疏除。</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 （2）栽种多年的丛生灌木应逐年更新衰老枝，疏剪内膛密生枝，培育新枝。栽植多年的有主干的灌木，每年应采取交替回缩主枝控制树冠的剪法，防止树势上强下弱。</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绿篱、色带修剪应使绿篱及色带轮廓清楚，线条整齐，顶面平整，高度一致，侧面上下垂直或上窄下宽。生长季节每月整形修剪2-3次，休眠期每月整形修剪至少1次。修剪后残留绿篱面的枝叶应及时清除干净。</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（4）发现病、虫枝和枯枝24小时内处理完毕。 </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2.4草坪</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（1）修剪次数：根据草坪生长情况，随时修剪。每次剪去的量不超过总长度的三分之一；修剪后高度冷季型不超过6公分，暖季型宜为5－7公分。</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（2）夏季和入冬前的最后一次修剪应提高留茬高度2-3cm，增强草坪抗逆性；复播草坪在两个品种生长交替季节需紧贴地表修剪，促进当季草坪萌发生长。</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（3）修剪时间应选在早晨或傍晚，避免剪湿草。同一草坪应避免用同一种方式刈剪，防止同一点、同一方式多次重复修剪，使该处草坪长势弱，且趋于同一方向生长。一般应采用条纹状交叉修剪。</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（4）所有修剪剩余物随剪随清，保证现场整洁，防止滋生病虫害。</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（5）修剪后过1－2天，应喷洒一次常规抗菌剂（如甲基托布津、代森锌等）防止病害发生，此工作在6－8月病害多发季节尤其重要。</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（6）麦冬每1-2月修剪掉长出路牙的部分，冬季进行一次全面的梳理修剪，去除枯黄叶条；结实季节适当修剪减少种子结实。</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灌木、绿篱、色块、草坪各级别养护区域修剪时间安排表如下：</w:t>
      </w:r>
      <w:r>
        <w:rPr>
          <w:rFonts w:hint="eastAsia" w:ascii="宋体" w:hAnsi="宋体" w:cs="宋体"/>
          <w:bCs/>
          <w:color w:val="000000"/>
          <w:sz w:val="24"/>
          <w:highlight w:val="none"/>
          <w:lang w:val="en-US" w:eastAsia="zh-CN"/>
        </w:rPr>
      </w:r>
      <w:r/>
    </w:p>
    <w:p>
      <w:pPr>
        <w:pStyle w:val="825"/>
        <w:ind w:firstLine="480"/>
        <w:jc w:val="center"/>
        <w:spacing w:line="3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 绿篱、色块、草坪修剪次数一览表（参考）</w:t>
      </w:r>
      <w:r>
        <w:rPr>
          <w:rFonts w:hint="eastAsia" w:ascii="宋体" w:hAnsi="宋体" w:eastAsia="宋体" w:cs="宋体"/>
          <w:bCs/>
          <w:color w:val="000000"/>
          <w:sz w:val="24"/>
          <w:szCs w:val="24"/>
          <w:highlight w:val="none"/>
          <w:lang w:val="en-US" w:eastAsia="zh-CN" w:bidi="ar-SA"/>
        </w:rPr>
      </w:r>
      <w:r/>
    </w:p>
    <w:tbl>
      <w:tblPr>
        <w:tblW w:w="996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59"/>
        <w:gridCol w:w="742"/>
        <w:gridCol w:w="567"/>
        <w:gridCol w:w="567"/>
        <w:gridCol w:w="567"/>
        <w:gridCol w:w="567"/>
        <w:gridCol w:w="536"/>
        <w:gridCol w:w="457"/>
        <w:gridCol w:w="535"/>
        <w:gridCol w:w="457"/>
        <w:gridCol w:w="567"/>
        <w:gridCol w:w="709"/>
        <w:gridCol w:w="708"/>
        <w:gridCol w:w="702"/>
        <w:gridCol w:w="1325"/>
      </w:tblGrid>
      <w:tr>
        <w:trPr>
          <w:trHeight w:val="938"/>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25"/>
              <w:jc w:val="both"/>
              <w:rPr>
                <w:rFonts w:ascii="宋体" w:hAnsi="宋体" w:eastAsia="宋体" w:cs="宋体"/>
                <w:bCs/>
                <w:color w:val="000000"/>
                <w:sz w:val="24"/>
                <w:szCs w:val="24"/>
                <w:highlight w:val="none"/>
                <w:lang w:val="en-US" w:eastAsia="zh-CN" w:bidi="ar-SA"/>
              </w:rPr>
            </w:pPr>
            <w:r>
              <w:rPr>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-68579</wp:posOffset>
                      </wp:positionH>
                      <wp:positionV relativeFrom="page">
                        <wp:posOffset>-3174</wp:posOffset>
                      </wp:positionV>
                      <wp:extent cx="608965" cy="80137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08965" cy="801370"/>
                              </a:xfrm>
                              <a:prstGeom prst="line">
                                <a:avLst/>
                              </a:prstGeom>
                              <a:noFill/>
                              <a:ln w="3175">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3;mso-wrap-distance-left:9.0pt;mso-wrap-distance-top:0.0pt;mso-wrap-distance-right:9.0pt;mso-wrap-distance-bottom:0.0pt;visibility:visible;" from="-5.4pt,-0.2pt" to="42.6pt,62.9pt" filled="f" strokecolor="#000000" strokeweight="0.25pt"/>
                  </w:pict>
                </mc:Fallback>
              </mc:AlternateContent>
            </w:r>
            <w:r>
              <w:rPr>
                <w:rFonts w:hint="eastAsia" w:ascii="宋体" w:hAnsi="宋体" w:cs="宋体"/>
                <w:bCs/>
                <w:color w:val="000000"/>
                <w:sz w:val="24"/>
                <w:szCs w:val="24"/>
                <w:highlight w:val="none"/>
                <w:lang w:val="en-US" w:eastAsia="zh-CN" w:bidi="ar-SA"/>
              </w:rPr>
              <w:t xml:space="preserve">  月份</w:t>
            </w:r>
            <w:r>
              <w:rPr>
                <w:rFonts w:ascii="宋体" w:hAnsi="宋体" w:eastAsia="宋体" w:cs="宋体"/>
                <w:bCs/>
                <w:color w:val="000000"/>
                <w:sz w:val="24"/>
                <w:szCs w:val="24"/>
                <w:highlight w:val="none"/>
                <w:lang w:val="en-US" w:eastAsia="zh-CN" w:bidi="ar-SA"/>
              </w:rPr>
            </w:r>
            <w:r/>
          </w:p>
          <w:p>
            <w:pPr>
              <w:pStyle w:val="825"/>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p>
            <w:pPr>
              <w:pStyle w:val="825"/>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养护</w:t>
            </w:r>
            <w:r>
              <w:rPr>
                <w:rFonts w:hint="eastAsia" w:ascii="宋体" w:hAnsi="宋体" w:eastAsia="宋体" w:cs="宋体"/>
                <w:bCs/>
                <w:color w:val="000000"/>
                <w:sz w:val="24"/>
                <w:szCs w:val="24"/>
                <w:highlight w:val="none"/>
                <w:lang w:val="en-US" w:eastAsia="zh-CN" w:bidi="ar-SA"/>
              </w:rPr>
            </w:r>
            <w:r/>
          </w:p>
          <w:p>
            <w:pPr>
              <w:pStyle w:val="825"/>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级别</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2"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一</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二</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三</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四</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五</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6"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六</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七</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八</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九</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十</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十一</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十二</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02"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合计</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325" w:type="dxa"/>
            <w:vAlign w:val="center"/>
            <w:textDirection w:val="lrTb"/>
            <w:noWrap w:val="false"/>
          </w:tcPr>
          <w:p>
            <w:pPr>
              <w:pStyle w:val="825"/>
              <w:jc w:val="center"/>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备注</w:t>
            </w:r>
            <w:r>
              <w:rPr>
                <w:rFonts w:ascii="宋体" w:hAnsi="宋体" w:eastAsia="宋体" w:cs="宋体"/>
                <w:bCs/>
                <w:color w:val="000000"/>
                <w:sz w:val="24"/>
                <w:szCs w:val="24"/>
                <w:highlight w:val="none"/>
                <w:lang w:val="en-US" w:eastAsia="zh-CN" w:bidi="ar-SA"/>
              </w:rPr>
            </w:r>
            <w:r/>
          </w:p>
        </w:tc>
      </w:tr>
      <w:tr>
        <w:trPr/>
        <w:tc>
          <w:tcPr>
            <w:tcBorders>
              <w:top w:val="single" w:color="000000" w:sz="4" w:space="0"/>
              <w:left w:val="single" w:color="000000" w:sz="4" w:space="0"/>
              <w:bottom w:val="none" w:color="000000" w:sz="0" w:space="0"/>
              <w:right w:val="single" w:color="000000" w:sz="4" w:space="0"/>
            </w:tcBorders>
            <w:tcW w:w="959" w:type="dxa"/>
            <w:vAlign w:val="center"/>
            <w:vMerge w:val="restart"/>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三级</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2"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6"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02" w:type="dxa"/>
            <w:vAlign w:val="center"/>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20</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325" w:type="dxa"/>
            <w:vAlign w:val="center"/>
            <w:textDirection w:val="lrTb"/>
            <w:noWrap w:val="false"/>
          </w:tcPr>
          <w:p>
            <w:pPr>
              <w:pStyle w:val="825"/>
              <w:jc w:val="center"/>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核心区</w:t>
            </w:r>
            <w:r>
              <w:rPr>
                <w:rFonts w:ascii="宋体" w:hAnsi="宋体" w:eastAsia="宋体" w:cs="宋体"/>
                <w:bCs/>
                <w:color w:val="000000"/>
                <w:sz w:val="24"/>
                <w:szCs w:val="24"/>
                <w:highlight w:val="none"/>
                <w:lang w:val="en-US" w:eastAsia="zh-CN" w:bidi="ar-SA"/>
              </w:rPr>
            </w:r>
            <w:r/>
          </w:p>
        </w:tc>
      </w:tr>
      <w:tr>
        <w:trPr/>
        <w:tc>
          <w:tcPr>
            <w:tcBorders>
              <w:top w:val="none" w:color="000000" w:sz="0" w:space="0"/>
              <w:left w:val="single" w:color="000000" w:sz="4" w:space="0"/>
              <w:bottom w:val="single" w:color="000000" w:sz="4" w:space="0"/>
              <w:right w:val="single" w:color="000000" w:sz="4" w:space="0"/>
            </w:tcBorders>
            <w:tcW w:w="959" w:type="dxa"/>
            <w:vAlign w:val="center"/>
            <w:vMerge w:val="continue"/>
            <w:textDirection w:val="lrTb"/>
            <w:noWrap w:val="false"/>
          </w:tcPr>
          <w:p>
            <w:pPr>
              <w:pStyle w:val="825"/>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2" w:type="dxa"/>
            <w:vAlign w:val="center"/>
            <w:textDirection w:val="lrTb"/>
            <w:noWrap w:val="false"/>
          </w:tcPr>
          <w:p>
            <w:pPr>
              <w:pStyle w:val="825"/>
              <w:jc w:val="center"/>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1</w:t>
            </w:r>
            <w:r>
              <w:rPr>
                <w:rFonts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825"/>
              <w:jc w:val="center"/>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1</w:t>
            </w:r>
            <w:r>
              <w:rPr>
                <w:rFonts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825"/>
              <w:jc w:val="center"/>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1</w:t>
            </w:r>
            <w:r>
              <w:rPr>
                <w:rFonts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825"/>
              <w:jc w:val="center"/>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1</w:t>
            </w:r>
            <w:r>
              <w:rPr>
                <w:rFonts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825"/>
              <w:jc w:val="center"/>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1</w:t>
            </w:r>
            <w:r>
              <w:rPr>
                <w:rFonts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6" w:type="dxa"/>
            <w:vAlign w:val="center"/>
            <w:textDirection w:val="lrTb"/>
            <w:noWrap w:val="false"/>
          </w:tcPr>
          <w:p>
            <w:pPr>
              <w:pStyle w:val="825"/>
              <w:jc w:val="center"/>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2</w:t>
            </w:r>
            <w:r>
              <w:rPr>
                <w:rFonts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825"/>
              <w:jc w:val="center"/>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2</w:t>
            </w:r>
            <w:r>
              <w:rPr>
                <w:rFonts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val="false"/>
          </w:tcPr>
          <w:p>
            <w:pPr>
              <w:pStyle w:val="825"/>
              <w:jc w:val="center"/>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2</w:t>
            </w:r>
            <w:r>
              <w:rPr>
                <w:rFonts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825"/>
              <w:jc w:val="center"/>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2</w:t>
            </w:r>
            <w:r>
              <w:rPr>
                <w:rFonts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825"/>
              <w:jc w:val="center"/>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2</w:t>
            </w:r>
            <w:r>
              <w:rPr>
                <w:rFonts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25"/>
              <w:jc w:val="center"/>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2</w:t>
            </w:r>
            <w:r>
              <w:rPr>
                <w:rFonts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5"/>
              <w:jc w:val="center"/>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1</w:t>
            </w:r>
            <w:r>
              <w:rPr>
                <w:rFonts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02" w:type="dxa"/>
            <w:vAlign w:val="center"/>
            <w:textDirection w:val="lrTb"/>
            <w:noWrap w:val="false"/>
          </w:tcPr>
          <w:p>
            <w:pPr>
              <w:pStyle w:val="825"/>
              <w:jc w:val="center"/>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18</w:t>
            </w:r>
            <w:r>
              <w:rPr>
                <w:rFonts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325" w:type="dxa"/>
            <w:vAlign w:val="center"/>
            <w:textDirection w:val="lrTb"/>
            <w:noWrap w:val="false"/>
          </w:tcPr>
          <w:p>
            <w:pPr>
              <w:pStyle w:val="825"/>
              <w:jc w:val="center"/>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非核心区</w:t>
            </w:r>
            <w:r>
              <w:rPr>
                <w:rFonts w:ascii="宋体" w:hAnsi="宋体" w:eastAsia="宋体" w:cs="宋体"/>
                <w:bCs/>
                <w:color w:val="000000"/>
                <w:sz w:val="24"/>
                <w:szCs w:val="24"/>
                <w:highlight w:val="none"/>
                <w:lang w:val="en-US" w:eastAsia="zh-CN" w:bidi="ar-SA"/>
              </w:rPr>
            </w:r>
            <w:r/>
          </w:p>
        </w:tc>
      </w:tr>
    </w:tbl>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采购人可跟据天气和苗木生长情况做调整，适当增加或减少修剪次数，供应商应服从采购人安排，并不得以此为依据要求增加费用。</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2.5藤木 </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（1）吸附类藤木，应在生长季剪去未能吸附墙体而下垂的枝条，未完全覆盖的植物应短截空隙周围枝条，以便发生副梢，填补空缺。 </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（2）钩刺类藤木，可按灌木修剪方法疏枝；生长到一定程度，树势衰弱时，应进行回缩修剪，强壮树势。 </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（3）生长于棚架的藤木，落叶后应疏剪过密枝条，清除枯死枝，使枝条均匀分布架面。 </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 （4）成年和老年藤木应常疏枝，并适当进行回缩修剪。</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2.6 草花（盆栽草花及地栽草花（含宿根花卉））</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（1）宿根花卉萌芽前应剪除上年残留枯枝、枯叶。 </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（2）宿根花卉萌芽期应特别注意保护新生嫩芽，同时及时剪除多余萌蘖。</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（3）宿根花卉花谢后应及时去除残花、残枝和枯叶 。</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3.绿化灌溉与排水</w:t>
      </w:r>
      <w:r>
        <w:rPr>
          <w:rFonts w:hint="eastAsia" w:ascii="宋体" w:hAnsi="宋体" w:cs="宋体"/>
          <w:b/>
          <w:bCs w:val="0"/>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根据植物的需求及不同环境条件、季节差异、植物生长情况及时浇水。春、秋、冬季连续20天无降雨需及时浇水，浇水量为土壤4-5cm深度湿润为标准；夏季高温期浇水间隔时间减半，浇水量为土壤10-15cm深度湿润为标准.夏季抗旱时能确保车辆、水泵、人员的安排和使用。冬季中午浇水，夏季早晚浇水。</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用水车浇灌树木时，应接软管，进行缓流浇灌，保证一次浇足浇透，严禁用高压水流冲毁树堰。水车及水泵浇水不得影响交通，并注意做好作业队的安全防护工作，浇水如造成路面污染，同时安排人员清扫冲洗干净。</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（3）在雨季应采用开沟、埋管、打孔等排水措施及时对绿地和树池排涝，防止植物因涝至死。绿地和树池内积水不得超过24小时；宿根花卉种植地积水不得超过12小时。</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（4）采购人为养护单位提供取水口，该用水口水费由采购人承担，取水、装水、洒水等费用由养护实施单位承担。严禁擅自打开消防水笼头或窨井盖取水。</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4.绿化施肥</w:t>
      </w:r>
      <w:r>
        <w:rPr>
          <w:rFonts w:hint="eastAsia" w:ascii="宋体" w:hAnsi="宋体" w:cs="宋体"/>
          <w:b/>
          <w:bCs w:val="0"/>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4.1草坪，花、灌木，藤本长藤，草花</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（1）每年冬季12月-1月前，施用有机肥料，如堆肥或泥炭土，肥料养分指标总养分N+P2O5+K2O含量（以干基计）≥5%，每亩施用有机肥30公斤。有机肥随灌水或降雨撒施，让肥料充分溶解渗透。</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（2）春季4-5月份施用返青复合肥，肥料养分指标总养分（N-P2O5-K2O）≥45.0%，总N含量≥20%，每亩15公斤复合肥均匀施下。复合肥随灌水或降雨撒施，让肥料充分溶解渗透。</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（3）花灌木、草花在花期前后，需根据甲方要求适当施用磷、钾肥。</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4.2乔木</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（1）施肥应根据不同的树种、胸径、生长势和土壤理化性质而定。树木施肥应先挖好施肥环沟，其外径与冠幅相适应。环沟深、宽均为25-30cm。不具备环施条件则采用穴施。</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（2）早春和深秋土壤冻结前给大树施有机肥，如堆放或泥炭土，胸径（干径）&lt;10cm时，用量不少于1.5kg/棵；胸径（干径）&gt;10cm时，用量不少于为2kg/棵。</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（3）春季4-5月份施用返青复合肥，胸径（干径）&lt;10cm时，用量不少于0.5kg/棵；胸径（干径）&gt;10cm时，用量不少于为1kg/棵。复合肥随灌水或降雨环施，保证肥料充分溶解渗入树木根系。</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4.3其他事项</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施肥肥料供应商提供。具体操作办法是：肥料采购由供应商根据上述施肥要求联合采购，采购人负责监督。采购人不指定品牌，只要求质量参数。并由采购方委托第三方（常州本地有肥料专业检测能力资质单位）按照国家相关法规标准进行检测，合格后施用。</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5．绿化松土、除草</w:t>
      </w:r>
      <w:r>
        <w:rPr>
          <w:rFonts w:hint="eastAsia" w:ascii="宋体" w:hAnsi="宋体" w:cs="宋体"/>
          <w:b/>
          <w:bCs w:val="0"/>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5.1草坪</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（1）草坪杂草要本着“除早、除小、除了”原则，及时连根清除，严禁出现恶性杂草（如一枝黄花等）。</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疏松土壤，土壤板结时应疏草打孔松土输氧。冷季型草坪（高羊茅、黑麦草、早熟禾等）每年3-4月份疏草、打孔一次，暖季型草坪（马尼拉、狗牙根等）每年7-8月份疏草、打孔一次，打孔深度5-8cm；先用剪草机将草重剪一次，用疏草机疏草，用打孔机打孔，用人工扫除或用旋刀剪草机吸走打出的泥块及草渣，施用土壤改良肥，培沙。</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（3）枯草及落叶层厚度在1.5cm以上时，易产生病虫害，影响树下草坪生长，水不易渗入土壤，应及时清除。</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（4）草坪与板块、绿篱等交界处每2个月切边切沟一次，保证品种间界线清晰，线条流畅。</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5.2 花、灌木，藤本长藤，草花</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（1）绿篱、色块、草花、藤本植物中无明显杂草及其他类植物，保持纯净。</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（2）松土结合除草、施肥进行，一年多次。夏季松土宜浅，秋后松土宜深些。</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5.3 乔木</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（1）以主干为中心1米直径的树盘内重点松土和除草，保持树穴内无明显杂草。</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（2）种植在草坪内的树木每2个月在树穴周围对草坪切边切沟一次，保证树穴界线清晰，线条流畅。</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（3）松土一般在5厘米以上，浅根性乔木松土宜浅，深根性乔木松土宜深。</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（4）所有区域的行道树和孤值景观树需松土，特级、一、二级养护区域内林带乔木需松土。</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（5）以下情况乔木不需松土：</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a、林带树行列间距2m以内的乔木；</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b、周围密植灌木的乔木；</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c、行道树池内有填充物无法松土的乔木。</w:t>
      </w:r>
      <w:r>
        <w:rPr>
          <w:rFonts w:hint="eastAsia"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color w:val="000000"/>
          <w:highlight w:val="none"/>
          <w:lang w:val="en-US" w:eastAsia="zh-CN"/>
        </w:rPr>
      </w:pPr>
      <w:r>
        <w:rPr>
          <w:rFonts w:hint="eastAsia" w:ascii="宋体" w:hAnsi="宋体" w:cs="宋体"/>
          <w:bCs/>
          <w:color w:val="000000"/>
          <w:sz w:val="24"/>
          <w:highlight w:val="none"/>
          <w:lang w:val="en-US" w:eastAsia="zh-CN"/>
        </w:rPr>
        <w:t xml:space="preserve">4.4四级养护区域除行道树或孤值景观树外，无需松土。</w:t>
      </w:r>
      <w:r>
        <w:rPr>
          <w:color w:val="000000"/>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6</w:t>
      </w:r>
      <w:r>
        <w:rPr>
          <w:rFonts w:ascii="宋体" w:hAnsi="宋体" w:cs="宋体"/>
          <w:b/>
          <w:bCs w:val="0"/>
          <w:color w:val="000000"/>
          <w:sz w:val="24"/>
          <w:highlight w:val="none"/>
          <w:lang w:val="en-US" w:eastAsia="zh-CN"/>
        </w:rPr>
        <w:t xml:space="preserve">．病虫害防治</w:t>
      </w:r>
      <w:r>
        <w:rPr>
          <w:rFonts w:ascii="宋体" w:hAnsi="宋体" w:cs="宋体"/>
          <w:b/>
          <w:bCs w:val="0"/>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（1）做好夏季病虫害和冬季越冬病虫害的预防和防治工作，苗木施药品种及防治时间、次数保证按照</w:t>
      </w:r>
      <w:r>
        <w:rPr>
          <w:rFonts w:hint="eastAsia" w:ascii="宋体" w:hAnsi="宋体" w:cs="宋体"/>
          <w:bCs/>
          <w:color w:val="000000"/>
          <w:sz w:val="24"/>
          <w:highlight w:val="none"/>
          <w:lang w:val="en-US" w:eastAsia="zh-CN"/>
        </w:rPr>
        <w:t xml:space="preserve">采购人</w:t>
      </w:r>
      <w:r>
        <w:rPr>
          <w:rFonts w:ascii="宋体" w:hAnsi="宋体" w:cs="宋体"/>
          <w:bCs/>
          <w:color w:val="000000"/>
          <w:sz w:val="24"/>
          <w:highlight w:val="none"/>
          <w:lang w:val="en-US" w:eastAsia="zh-CN"/>
        </w:rPr>
        <w:t xml:space="preserve">的要求，在规定时间内及时完成。其中果岭草、高羊茅草坪在6、7、8、9四个月病虫害高发期，确保每月至少各防治2次，共计8次；草坪修剪后过1－2天，应喷洒一次常规抗菌剂（如甲基托布津、代森锌等）防止病害发生。苗木在养护期内发现病虫害在2天内治理完毕，病虫害控制在以不影响观赏效果的范围之内，其中食叶害虫危害的叶片，每株不超过5%，刺吸性害虫危害的叶片，每株不超过10%，无蛀干性害虫的活虫、活卵。</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供应商</w:t>
      </w:r>
      <w:r>
        <w:rPr>
          <w:rFonts w:ascii="宋体" w:hAnsi="宋体" w:cs="宋体"/>
          <w:bCs/>
          <w:color w:val="000000"/>
          <w:sz w:val="24"/>
          <w:highlight w:val="none"/>
          <w:lang w:val="en-US" w:eastAsia="zh-CN"/>
        </w:rPr>
        <w:t xml:space="preserve">必须全部使用清单指定的农药，不使用国家或本地区禁止使用的农药和广谱性高毒杀虫剂。</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3）喷药应成雾状，做到由内向外、由上向下、叶面叶背喷药均匀，不留空白。喷药应在无风的晴天进行，阴雨或高温炎热的中午不宜喷药。喷药时要注意行人安全、避开人流高峰时段，喷药范围内有食品、水果、鱼池等，要待移出或遮盖后方能进行。喷药后要立即清洗药械，不准乱倒残液。</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（4）凡进行病虫害防治，均必须建立防治技术档案，以利于总结经验、改进和提高防治效果、进行技术考核等。</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（5）档案的记载以防治对象为单位，每次防治工作均应作记录，其内容主要为：防治时间、天气情况、防治对象、为害植物、防治地点、防治方法、使用药剂名称及浓度、使用工具、防治效果、防治人员等。</w:t>
      </w:r>
      <w:r>
        <w:rPr>
          <w:rFonts w:ascii="宋体" w:hAnsi="宋体" w:cs="宋体"/>
          <w:bCs/>
          <w:color w:val="000000"/>
          <w:sz w:val="24"/>
          <w:highlight w:val="none"/>
          <w:lang w:val="en-US" w:eastAsia="zh-CN"/>
        </w:rPr>
      </w:r>
      <w:r/>
    </w:p>
    <w:p>
      <w:pPr>
        <w:pStyle w:val="825"/>
        <w:rPr>
          <w:color w:val="000000"/>
          <w:highlight w:val="none"/>
          <w:lang w:val="en-US" w:eastAsia="zh-CN"/>
        </w:rPr>
      </w:pPr>
      <w:r>
        <w:rPr>
          <w:color w:val="000000"/>
          <w:highlight w:val="none"/>
          <w:lang w:val="en-US" w:eastAsia="zh-CN"/>
        </w:rPr>
      </w:r>
      <w:r/>
    </w:p>
    <w:p>
      <w:pPr>
        <w:pStyle w:val="825"/>
        <w:ind w:firstLine="422"/>
        <w:jc w:val="center"/>
        <w:spacing w:after="156"/>
        <w:rPr>
          <w:rFonts w:ascii="宋体" w:hAnsi="宋体" w:cs="宋体"/>
          <w:b/>
          <w:bCs/>
          <w:color w:val="000000"/>
          <w:szCs w:val="21"/>
          <w:highlight w:val="none"/>
        </w:rPr>
      </w:pPr>
      <w:r>
        <w:rPr>
          <w:rFonts w:hint="eastAsia" w:ascii="宋体" w:hAnsi="宋体" w:cs="宋体"/>
          <w:b/>
          <w:bCs/>
          <w:color w:val="000000"/>
          <w:szCs w:val="21"/>
          <w:highlight w:val="none"/>
        </w:rPr>
        <w:t xml:space="preserve">绿化养护农药使用清单</w:t>
      </w:r>
      <w:r>
        <w:rPr>
          <w:rFonts w:ascii="宋体" w:hAnsi="宋体" w:cs="宋体"/>
          <w:b/>
          <w:bCs/>
          <w:color w:val="000000"/>
          <w:szCs w:val="21"/>
          <w:highlight w:val="none"/>
        </w:rPr>
      </w:r>
      <w:r/>
    </w:p>
    <w:tbl>
      <w:tblPr>
        <w:tblW w:w="841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420"/>
        <w:gridCol w:w="4992"/>
      </w:tblGrid>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2"/>
              <w:rPr>
                <w:rFonts w:ascii="宋体" w:hAnsi="宋体" w:cs="宋体"/>
                <w:b/>
                <w:bCs/>
                <w:color w:val="000000"/>
                <w:szCs w:val="21"/>
                <w:highlight w:val="none"/>
              </w:rPr>
            </w:pPr>
            <w:r>
              <w:rPr>
                <w:rFonts w:hint="eastAsia" w:ascii="宋体" w:hAnsi="宋体" w:cs="宋体"/>
                <w:b/>
                <w:bCs/>
                <w:color w:val="000000"/>
                <w:szCs w:val="21"/>
                <w:highlight w:val="none"/>
              </w:rPr>
              <w:t xml:space="preserve">药剂品种</w:t>
            </w: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2"/>
              <w:rPr>
                <w:rFonts w:ascii="宋体" w:hAnsi="宋体" w:cs="宋体"/>
                <w:b/>
                <w:bCs/>
                <w:color w:val="000000"/>
                <w:szCs w:val="21"/>
                <w:highlight w:val="none"/>
              </w:rPr>
            </w:pPr>
            <w:r>
              <w:rPr>
                <w:rFonts w:hint="eastAsia" w:ascii="宋体" w:hAnsi="宋体" w:cs="宋体"/>
                <w:b/>
                <w:bCs/>
                <w:color w:val="000000"/>
                <w:szCs w:val="21"/>
                <w:highlight w:val="none"/>
              </w:rPr>
              <w:t xml:space="preserve">防治对象</w:t>
            </w:r>
            <w:r>
              <w:rPr>
                <w:rFonts w:ascii="宋体" w:hAnsi="宋体" w:cs="宋体"/>
                <w:b/>
                <w:bCs/>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灭幼脲Ⅲ号</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鳞翅目类（地老虎、重阳木斑蛾，刺蛾等）</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杀铃脲</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鳞翅目类（地老虎、重阳木斑蛾，刺蛾等）</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Bt制剂（灭蛾灵、苏力保）</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鳞翅目类（利用苏云金杆菌杀虫）（同上）</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杀虫素</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香樟、桃、毛鹃等植物上的螨、</w:t>
            </w:r>
            <w:r>
              <w:rPr>
                <w:rFonts w:ascii="宋体" w:hAnsi="宋体" w:cs="宋体"/>
                <w:color w:val="000000"/>
                <w:szCs w:val="21"/>
                <w:highlight w:val="none"/>
              </w:rPr>
            </w:r>
            <w:r/>
          </w:p>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网蝽等刺吸类</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阿维毒乳油</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鳞翅目、鞘翅目、半翅目、及地下害虫</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虫瘟一号</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鳞翅目</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花保</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蚧类兼治煤污病、叶螨、蚜虫、网蝽</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蛾螨灵</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鳞翅目、同翅目，对螨类有特效</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定虫隆（抑太保）</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鳞翅目、鞘翅目</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溴（氯）氰菊酯</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鳞翅目、同翅目</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功夫菊酯</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鳞翅目、同翅目、鞘翅目</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井冈霉素</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鳞翅目、同翅目，叶斑病、立枯病等</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甲维盐</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鳞翅目</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毒死蜱乳油（乐斯本）</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left="479"/>
              <w:rPr>
                <w:rFonts w:ascii="宋体" w:hAnsi="宋体" w:cs="宋体"/>
                <w:color w:val="000000"/>
                <w:szCs w:val="21"/>
                <w:highlight w:val="none"/>
              </w:rPr>
            </w:pPr>
            <w:r>
              <w:rPr>
                <w:rFonts w:hint="eastAsia" w:ascii="宋体" w:hAnsi="宋体" w:cs="宋体"/>
                <w:color w:val="000000"/>
                <w:szCs w:val="21"/>
                <w:highlight w:val="none"/>
              </w:rPr>
              <w:t xml:space="preserve">地下害虫以及多种咀嚼式和刺吸式口器害虫</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绿色威雷</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天牛</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30%杀铃脲·辛乳油</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地下害虫</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奥力克</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蛴螬、蝼蛄等地下害虫</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辛硫磷</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蛴螬、蝼蛄等地下害虫</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护树宝注干剂（树大夫）</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刺吸性害虫（蚧虫类、天牛等）</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蛀干害虫毒签</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天牛、木蠹蛾、小蠹冲等蛀干类害虫</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速蚧克乳剂</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各种介壳虫</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速扑杀</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各种介壳虫</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啶虫脒</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各种介壳虫、蚜虫、粉虱</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吡虫啉</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蚜虫、潜叶蛾、潜叶蝇等</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8%中保杀螨乳油</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对螨类有特效</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哒嗪酮</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螨类</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50%灭菌成水溶性粉剂</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白粉病、锈病、叶斑病、腐烂病、</w:t>
            </w:r>
            <w:r>
              <w:rPr>
                <w:rFonts w:ascii="宋体" w:hAnsi="宋体" w:cs="宋体"/>
                <w:color w:val="000000"/>
                <w:szCs w:val="21"/>
                <w:highlight w:val="none"/>
              </w:rPr>
            </w:r>
            <w:r/>
          </w:p>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根腐病等</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rPr>
                <w:rFonts w:ascii="宋体" w:hAnsi="宋体" w:cs="宋体"/>
                <w:color w:val="000000"/>
                <w:szCs w:val="21"/>
                <w:highlight w:val="none"/>
              </w:rPr>
            </w:pPr>
            <w:r>
              <w:rPr>
                <w:rFonts w:hint="eastAsia" w:ascii="宋体" w:hAnsi="宋体" w:cs="宋体"/>
                <w:color w:val="000000"/>
                <w:szCs w:val="21"/>
                <w:highlight w:val="none"/>
              </w:rPr>
              <w:t xml:space="preserve">12.5%烯唑醇可湿性粉剂（力克菌）</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白粉病、锈病、灰霉病、黑斑病、立枯病等</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20%龙克菌悬浮剂</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叶斑病、炭疽病、角斑病等</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25%阿西米达悬浮剂</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霜霉病、早疫病、炭疽病、叶斑病</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15%三唑酮乳油（粉锈宁）</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锈病、白粉病等真菌类病害</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甲基拖布津</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锈病、叶斑病、腐烂病、穿孔病等</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代森锌（大生）</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rPr>
                <w:rFonts w:ascii="宋体" w:hAnsi="宋体" w:cs="宋体"/>
                <w:color w:val="000000"/>
                <w:szCs w:val="21"/>
                <w:highlight w:val="none"/>
              </w:rPr>
            </w:pPr>
            <w:r>
              <w:rPr>
                <w:rFonts w:hint="eastAsia" w:ascii="宋体" w:hAnsi="宋体" w:cs="宋体"/>
                <w:color w:val="000000"/>
                <w:szCs w:val="21"/>
                <w:highlight w:val="none"/>
              </w:rPr>
              <w:t xml:space="preserve">斑枯病、</w:t>
            </w:r>
            <w:r>
              <w:rPr>
                <w:color w:val="000000"/>
                <w:highlight w:val="none"/>
              </w:rPr>
              <w:fldChar w:fldCharType="begin"/>
            </w:r>
            <w:r>
              <w:rPr>
                <w:color w:val="000000"/>
                <w:highlight w:val="none"/>
              </w:rPr>
              <w:instrText xml:space="preserve"> HYPERLINK "http://baike.baidu.com/view/742997.htm" </w:instrText>
            </w:r>
            <w:r>
              <w:rPr>
                <w:color w:val="000000"/>
                <w:highlight w:val="none"/>
              </w:rPr>
              <w:fldChar w:fldCharType="separate"/>
            </w:r>
            <w:r>
              <w:rPr>
                <w:rFonts w:hint="eastAsia" w:ascii="宋体" w:hAnsi="宋体" w:cs="宋体"/>
                <w:color w:val="000000"/>
                <w:highlight w:val="none"/>
              </w:rPr>
              <w:t xml:space="preserve">叶霉病</w:t>
            </w:r>
            <w:r>
              <w:rPr>
                <w:rFonts w:ascii="宋体" w:hAnsi="宋体" w:cs="宋体"/>
                <w:color w:val="000000"/>
                <w:highlight w:val="none"/>
              </w:rPr>
              <w:fldChar w:fldCharType="end"/>
            </w:r>
            <w:r>
              <w:rPr>
                <w:rFonts w:hint="eastAsia" w:ascii="宋体" w:hAnsi="宋体" w:cs="宋体"/>
                <w:color w:val="000000"/>
                <w:szCs w:val="21"/>
                <w:highlight w:val="none"/>
              </w:rPr>
              <w:t xml:space="preserve">、炭疽病、霜霉病，对白粉病无效</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百菌清</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锈病、炭疽病、白粉病、霜霉病</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多菌灵</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rPr>
                <w:rFonts w:ascii="宋体" w:hAnsi="宋体" w:cs="宋体"/>
                <w:color w:val="000000"/>
                <w:szCs w:val="21"/>
                <w:highlight w:val="none"/>
              </w:rPr>
            </w:pPr>
            <w:r>
              <w:rPr>
                <w:rFonts w:hint="eastAsia" w:ascii="宋体" w:hAnsi="宋体" w:cs="宋体"/>
                <w:color w:val="000000"/>
                <w:szCs w:val="21"/>
                <w:highlight w:val="none"/>
              </w:rPr>
              <w:t xml:space="preserve">白粉病、炭疽病、疫病、菌核病、灰霉病、叶斑病、立枯病等</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蜗克星颗粒剂（蜗灭佳）</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蜗牛、螺类</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密达</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rPr>
                <w:rFonts w:ascii="宋体" w:hAnsi="宋体" w:cs="宋体"/>
                <w:color w:val="000000"/>
                <w:szCs w:val="21"/>
                <w:highlight w:val="none"/>
              </w:rPr>
            </w:pPr>
            <w:r>
              <w:rPr>
                <w:rFonts w:hint="eastAsia" w:ascii="宋体" w:hAnsi="宋体" w:cs="宋体"/>
                <w:color w:val="000000"/>
                <w:szCs w:val="21"/>
                <w:highlight w:val="none"/>
              </w:rPr>
              <w:t xml:space="preserve">蜗牛</w:t>
            </w:r>
            <w:r>
              <w:rPr>
                <w:rFonts w:ascii="宋体" w:hAnsi="宋体"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25"/>
              <w:ind w:firstLine="420"/>
              <w:spacing w:after="156"/>
              <w:rPr>
                <w:rFonts w:ascii="宋体" w:hAnsi="宋体" w:cs="宋体"/>
                <w:color w:val="000000"/>
                <w:szCs w:val="21"/>
                <w:highlight w:val="none"/>
              </w:rPr>
            </w:pPr>
            <w:r>
              <w:rPr>
                <w:rFonts w:hint="eastAsia" w:ascii="宋体" w:hAnsi="宋体" w:cs="宋体"/>
                <w:color w:val="000000"/>
                <w:szCs w:val="21"/>
                <w:highlight w:val="none"/>
              </w:rPr>
              <w:t xml:space="preserve">海藻素</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992" w:type="dxa"/>
            <w:vAlign w:val="center"/>
            <w:textDirection w:val="lrTb"/>
            <w:noWrap w:val="false"/>
          </w:tcPr>
          <w:p>
            <w:pPr>
              <w:pStyle w:val="825"/>
              <w:ind w:firstLine="420"/>
              <w:spacing w:after="156"/>
              <w:rPr>
                <w:rFonts w:ascii="宋体" w:hAnsi="宋体" w:cs="宋体"/>
                <w:color w:val="000000"/>
                <w:szCs w:val="21"/>
                <w:highlight w:val="none"/>
              </w:rPr>
            </w:pPr>
            <w:r>
              <w:rPr>
                <w:rFonts w:hint="eastAsia" w:ascii="宋体" w:hAnsi="宋体" w:cs="宋体"/>
                <w:color w:val="000000"/>
                <w:szCs w:val="21"/>
                <w:highlight w:val="none"/>
              </w:rPr>
              <w:t xml:space="preserve">黄化病</w:t>
            </w:r>
            <w:r>
              <w:rPr>
                <w:rFonts w:ascii="宋体" w:hAnsi="宋体" w:cs="宋体"/>
                <w:color w:val="000000"/>
                <w:szCs w:val="21"/>
                <w:highlight w:val="none"/>
              </w:rPr>
            </w:r>
            <w:r/>
          </w:p>
        </w:tc>
      </w:tr>
    </w:tbl>
    <w:p>
      <w:pPr>
        <w:pStyle w:val="825"/>
        <w:contextualSpacing/>
        <w:ind w:firstLine="482"/>
        <w:keepLines w:val="0"/>
        <w:keepNext w:val="0"/>
        <w:pageBreakBefore w:val="0"/>
        <w:spacing w:line="500" w:lineRule="exact"/>
        <w:tabs>
          <w:tab w:val="left" w:pos="567" w:leader="none"/>
          <w:tab w:val="left" w:pos="1134" w:leader="none"/>
        </w:tabs>
        <w:rPr>
          <w:rFonts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7</w:t>
      </w:r>
      <w:r>
        <w:rPr>
          <w:rFonts w:ascii="宋体" w:hAnsi="宋体" w:cs="宋体"/>
          <w:b/>
          <w:bCs w:val="0"/>
          <w:color w:val="000000"/>
          <w:sz w:val="24"/>
          <w:highlight w:val="none"/>
          <w:lang w:val="en-US" w:eastAsia="zh-CN"/>
        </w:rPr>
        <w:t xml:space="preserve">．草坪追播、复壮</w:t>
      </w:r>
      <w:r>
        <w:rPr>
          <w:rFonts w:ascii="宋体" w:hAnsi="宋体" w:cs="宋体"/>
          <w:b/>
          <w:bCs w:val="0"/>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7</w:t>
      </w:r>
      <w:r>
        <w:rPr>
          <w:rFonts w:ascii="宋体" w:hAnsi="宋体" w:cs="宋体"/>
          <w:bCs/>
          <w:color w:val="000000"/>
          <w:sz w:val="24"/>
          <w:highlight w:val="none"/>
          <w:lang w:val="en-US" w:eastAsia="zh-CN"/>
        </w:rPr>
        <w:t xml:space="preserve">.1追播</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（1）需混播草坪应在9月下旬至10月上中旬追播冷季型草坪。</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（2）播籽前应低修剪，留茬高度应低于3cm。</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（3）冷季型草坪播种量应为20g/m2 — 25g/m2，种子纯度98%以上，播种要均匀。</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（4）播种后必须均匀喷水保持土壤湿润，出苗后正常养护。</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7</w:t>
      </w:r>
      <w:r>
        <w:rPr>
          <w:rFonts w:ascii="宋体" w:hAnsi="宋体" w:cs="宋体"/>
          <w:bCs/>
          <w:color w:val="000000"/>
          <w:sz w:val="24"/>
          <w:highlight w:val="none"/>
          <w:lang w:val="en-US" w:eastAsia="zh-CN"/>
        </w:rPr>
        <w:t xml:space="preserve">.2 复壮</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（1）当枯草层增厚，土层通气性差，空秃严重，杂草明显，必须复壮更新。</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（2）枯草层可采用疏草机或钢齿耙消除；应用打孔机打孔改善土壤通气性；结合打孔增施有机肥、复合肥,并适当覆黄沙改良表层土壤。</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（3） 草坪高低悬殊出现秃斑或成片杂草侵入,在采取相应的平整除草措施后用同类草籽或草皮修补。</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8</w:t>
      </w:r>
      <w:r>
        <w:rPr>
          <w:rFonts w:ascii="宋体" w:hAnsi="宋体" w:cs="宋体"/>
          <w:b/>
          <w:bCs w:val="0"/>
          <w:color w:val="000000"/>
          <w:sz w:val="24"/>
          <w:highlight w:val="none"/>
          <w:lang w:val="en-US" w:eastAsia="zh-CN"/>
        </w:rPr>
        <w:t xml:space="preserve">．绿化移植、空缺补种</w:t>
      </w:r>
      <w:r>
        <w:rPr>
          <w:rFonts w:ascii="宋体" w:hAnsi="宋体" w:cs="宋体"/>
          <w:b/>
          <w:bCs w:val="0"/>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8</w:t>
      </w:r>
      <w:r>
        <w:rPr>
          <w:rFonts w:ascii="宋体" w:hAnsi="宋体" w:cs="宋体"/>
          <w:bCs/>
          <w:color w:val="000000"/>
          <w:sz w:val="24"/>
          <w:highlight w:val="none"/>
          <w:lang w:val="en-US" w:eastAsia="zh-CN"/>
        </w:rPr>
        <w:t xml:space="preserve">.1 迁移苗木开挖要求</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1）土球开挖：土球开挖决定迁移苗木的成活率，为重点质量控制点。开挖土球直径不得小于胸径的8倍、厚度不小于胸径的6倍，外表光洁整齐，主根断面齐整，毛细根保护较多。土球直径大于1米或原土松散的，必须包扎。如因特殊原因不能满足以上要求的（如临近构筑物无法开挖相应规格土球等），</w:t>
      </w:r>
      <w:r>
        <w:rPr>
          <w:rFonts w:hint="eastAsia" w:ascii="宋体" w:hAnsi="宋体" w:cs="宋体"/>
          <w:bCs/>
          <w:color w:val="000000"/>
          <w:sz w:val="24"/>
          <w:highlight w:val="none"/>
          <w:lang w:val="en-US" w:eastAsia="zh-CN"/>
        </w:rPr>
        <w:t xml:space="preserve">供应商</w:t>
      </w:r>
      <w:r>
        <w:rPr>
          <w:rFonts w:ascii="宋体" w:hAnsi="宋体" w:cs="宋体"/>
          <w:bCs/>
          <w:color w:val="000000"/>
          <w:sz w:val="24"/>
          <w:highlight w:val="none"/>
          <w:lang w:val="en-US" w:eastAsia="zh-CN"/>
        </w:rPr>
        <w:t xml:space="preserve">应征得</w:t>
      </w:r>
      <w:r>
        <w:rPr>
          <w:rFonts w:hint="eastAsia" w:ascii="宋体" w:hAnsi="宋体" w:cs="宋体"/>
          <w:bCs/>
          <w:color w:val="000000"/>
          <w:sz w:val="24"/>
          <w:highlight w:val="none"/>
          <w:lang w:val="en-US" w:eastAsia="zh-CN"/>
        </w:rPr>
        <w:t xml:space="preserve">采购人</w:t>
      </w:r>
      <w:r>
        <w:rPr>
          <w:rFonts w:ascii="宋体" w:hAnsi="宋体" w:cs="宋体"/>
          <w:bCs/>
          <w:color w:val="000000"/>
          <w:sz w:val="24"/>
          <w:highlight w:val="none"/>
          <w:lang w:val="en-US" w:eastAsia="zh-CN"/>
        </w:rPr>
        <w:t xml:space="preserve">同意。</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2）苗木修剪：树木修剪决定苗木的形态和价值，也应作为重点质量控制点。修剪原则是不得破坏树木原有形态，在确保成活率的前提下按照“七去五留”的原则进行修剪，尤其是必须保留主干枝（三级以下的枝干）和轮廓枝等。如因树木长势或季节原因必须重修剪的，应由</w:t>
      </w:r>
      <w:r>
        <w:rPr>
          <w:rFonts w:hint="eastAsia" w:ascii="宋体" w:hAnsi="宋体" w:cs="宋体"/>
          <w:bCs/>
          <w:color w:val="000000"/>
          <w:sz w:val="24"/>
          <w:highlight w:val="none"/>
          <w:lang w:val="en-US" w:eastAsia="zh-CN"/>
        </w:rPr>
        <w:t xml:space="preserve">采购人</w:t>
      </w:r>
      <w:r>
        <w:rPr>
          <w:rFonts w:ascii="宋体" w:hAnsi="宋体" w:cs="宋体"/>
          <w:bCs/>
          <w:color w:val="000000"/>
          <w:sz w:val="24"/>
          <w:highlight w:val="none"/>
          <w:lang w:val="en-US" w:eastAsia="zh-CN"/>
        </w:rPr>
        <w:t xml:space="preserve">同意。</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8</w:t>
      </w:r>
      <w:r>
        <w:rPr>
          <w:rFonts w:ascii="宋体" w:hAnsi="宋体" w:cs="宋体"/>
          <w:bCs/>
          <w:color w:val="000000"/>
          <w:sz w:val="24"/>
          <w:highlight w:val="none"/>
          <w:lang w:val="en-US" w:eastAsia="zh-CN"/>
        </w:rPr>
        <w:t xml:space="preserve">.2 迁移苗木种植要求</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（1）苗木的种植：当天挖树需当天运输、种植。随掘、随运、随种最能保障苗木成活率。苗木挖掘至种植时间不得超过24小时。大树尤其应严控挖树、种树间隔时间。</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（2）苗木种植穴的规格大小，应按苗木的根盘和土球直径适当放大，使根系能充分舒展。种植穴规格应不小于下表：</w:t>
      </w:r>
      <w:r>
        <w:rPr>
          <w:rFonts w:ascii="宋体" w:hAnsi="宋体" w:cs="宋体"/>
          <w:bCs/>
          <w:color w:val="000000"/>
          <w:sz w:val="24"/>
          <w:highlight w:val="none"/>
          <w:lang w:val="en-US" w:eastAsia="zh-CN"/>
        </w:rPr>
      </w:r>
      <w:r/>
    </w:p>
    <w:tbl>
      <w:tblPr>
        <w:tblW w:w="852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088"/>
        <w:gridCol w:w="3593"/>
        <w:gridCol w:w="2841"/>
      </w:tblGrid>
      <w:tr>
        <w:trPr>
          <w:trHeight w:val="454"/>
        </w:trPr>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pStyle w:val="825"/>
              <w:ind w:firstLine="48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苗木种类</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93" w:type="dxa"/>
            <w:vAlign w:val="center"/>
            <w:textDirection w:val="lrTb"/>
            <w:noWrap w:val="false"/>
          </w:tcPr>
          <w:p>
            <w:pPr>
              <w:pStyle w:val="825"/>
              <w:ind w:firstLine="48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种植穴直径</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pStyle w:val="825"/>
              <w:ind w:firstLine="48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种植穴深度</w:t>
            </w:r>
            <w:r>
              <w:rPr>
                <w:rFonts w:hint="eastAsia" w:ascii="宋体" w:hAnsi="宋体" w:eastAsia="宋体" w:cs="宋体"/>
                <w:b/>
                <w:bCs/>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pStyle w:val="825"/>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乔木</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93" w:type="dxa"/>
            <w:vAlign w:val="center"/>
            <w:textDirection w:val="lrTb"/>
            <w:noWrap w:val="false"/>
          </w:tcPr>
          <w:p>
            <w:pPr>
              <w:pStyle w:val="825"/>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胸径的15倍</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pStyle w:val="825"/>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胸径的12倍</w:t>
            </w:r>
            <w:r>
              <w:rPr>
                <w:rFonts w:hint="eastAsia" w:ascii="宋体" w:hAnsi="宋体" w:eastAsia="宋体" w:cs="宋体"/>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pStyle w:val="825"/>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灌木</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93" w:type="dxa"/>
            <w:vAlign w:val="center"/>
            <w:textDirection w:val="lrTb"/>
            <w:noWrap w:val="false"/>
          </w:tcPr>
          <w:p>
            <w:pPr>
              <w:pStyle w:val="825"/>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蓬径的0.8—1倍</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pStyle w:val="825"/>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蓬径的0.6—0.8倍</w:t>
            </w:r>
            <w:r>
              <w:rPr>
                <w:rFonts w:hint="eastAsia" w:ascii="宋体" w:hAnsi="宋体" w:eastAsia="宋体" w:cs="宋体"/>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pStyle w:val="825"/>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竹类</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93" w:type="dxa"/>
            <w:vAlign w:val="center"/>
            <w:textDirection w:val="lrTb"/>
            <w:noWrap w:val="false"/>
          </w:tcPr>
          <w:p>
            <w:pPr>
              <w:pStyle w:val="825"/>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80—100cm</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841" w:type="dxa"/>
            <w:vAlign w:val="center"/>
            <w:textDirection w:val="lrTb"/>
            <w:noWrap w:val="false"/>
          </w:tcPr>
          <w:p>
            <w:pPr>
              <w:pStyle w:val="825"/>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60—80cm</w:t>
            </w:r>
            <w:r>
              <w:rPr>
                <w:rFonts w:hint="eastAsia" w:ascii="宋体" w:hAnsi="宋体" w:eastAsia="宋体" w:cs="宋体"/>
                <w:color w:val="000000"/>
                <w:sz w:val="24"/>
                <w:szCs w:val="24"/>
                <w:highlight w:val="none"/>
              </w:rPr>
            </w:r>
            <w:r/>
          </w:p>
        </w:tc>
      </w:tr>
    </w:tbl>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（3）种植穴开挖如遇到土质差，有大量生活、建筑垃圾，影响植物生长，必须加大开挖规格，将有害垃圾尽可能去除，并进行换土。</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（4）针对大树补种时，需施基肥或改良土壤的，可施腐熟的有机肥或复合肥，将肥料施于穴底，施后覆土，改良土壤可将介质土、泥炭土或砻糠灰等与种植土混合后使用。肥料由</w:t>
      </w:r>
      <w:r>
        <w:rPr>
          <w:rFonts w:hint="eastAsia" w:ascii="宋体" w:hAnsi="宋体" w:cs="宋体"/>
          <w:bCs/>
          <w:color w:val="000000"/>
          <w:sz w:val="24"/>
          <w:highlight w:val="none"/>
          <w:lang w:val="en-US" w:eastAsia="zh-CN"/>
        </w:rPr>
        <w:t xml:space="preserve">供应商</w:t>
      </w:r>
      <w:r>
        <w:rPr>
          <w:rFonts w:ascii="宋体" w:hAnsi="宋体" w:cs="宋体"/>
          <w:bCs/>
          <w:color w:val="000000"/>
          <w:sz w:val="24"/>
          <w:highlight w:val="none"/>
          <w:lang w:val="en-US" w:eastAsia="zh-CN"/>
        </w:rPr>
        <w:t xml:space="preserve">按要求自行采购。</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5）带土球苗木补种时，先在种植穴用种植土填到一定高度，土球放置在填土上，土球表层与种植穴周围高度相平，随后确定植物种植面，将形状较好的一面朝观赏面，然后将植物放端正，行列式种植还需行、列对齐，覆土时，边覆土边将土捣实，覆土完成后在植物根部做浇水围堰，以利浇透定根水。</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（6）裸根苗木补种时，先将植株放入种植穴，扶下后定好方向，舒展根系，均匀填土，扶正后继续填土并捣实，覆土完后做围堰。</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（7）支撑要求杉木支撑，支撑应牢固，绑扎树木处应加垫物，不得磨损树干。支撑形式有龙门撑、三角撑、四角撑等。</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（8）板块、地被空缺大于0.5m2时补种，不得采用插补的方式进行补种，应当将空缺处修整出不小于1×1㎡见方的空地，对土壤进行翻挖改良后，方可补种。补种苗种类、规格应与周边统一。</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（9）对被破坏或其他原因引起死亡的草坪在72小时内更换补植，保持完整，无裸露地面。补植时应补种与原草坪相同的草种；适当密植，并加强管理养护，尽快与周围草坪一致。 </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（10）一年生草花花后失去观赏价值的应及时修剪、更换。</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9</w:t>
      </w:r>
      <w:r>
        <w:rPr>
          <w:rFonts w:ascii="宋体" w:hAnsi="宋体" w:cs="宋体"/>
          <w:b/>
          <w:bCs w:val="0"/>
          <w:color w:val="000000"/>
          <w:sz w:val="24"/>
          <w:highlight w:val="none"/>
          <w:lang w:val="en-US" w:eastAsia="zh-CN"/>
        </w:rPr>
        <w:t xml:space="preserve">．防台抗灾</w:t>
      </w:r>
      <w:r>
        <w:rPr>
          <w:rFonts w:ascii="宋体" w:hAnsi="宋体" w:cs="宋体"/>
          <w:b/>
          <w:bCs w:val="0"/>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1）夏秋季节台风频繁时，应做好树木防台工作。台风前对过密枝条进行梳枝、剥芽，结合修剪，去除病枝、枯枝。做好树木加固支撑。风害后倾斜树木应及时扶正。挖松倾斜反向面的土，树冠相应疏枝。扶正树木，加土夯实。固定树身。</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2）冬季极端气候时，应做好树木防寒、防雪工作。秋季少施氮肥，增施钾肥，增加植物抗寒性。根颈部加土，略呈馒头形，确保根颈部不受冻。及时对枝条过密，尤其是树冠浓密常绿乔灌木疏枝。对易断裂枝条进行支撑。及时清除过厚积雪</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10</w:t>
      </w:r>
      <w:r>
        <w:rPr>
          <w:rFonts w:ascii="宋体" w:hAnsi="宋体" w:cs="宋体"/>
          <w:b/>
          <w:bCs w:val="0"/>
          <w:color w:val="000000"/>
          <w:sz w:val="24"/>
          <w:highlight w:val="none"/>
          <w:lang w:val="en-US" w:eastAsia="zh-CN"/>
        </w:rPr>
        <w:t xml:space="preserve">．绿化涂白及树木保暖防冻</w:t>
      </w:r>
      <w:r>
        <w:rPr>
          <w:rFonts w:ascii="宋体" w:hAnsi="宋体" w:cs="宋体"/>
          <w:b/>
          <w:bCs w:val="0"/>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10</w:t>
      </w:r>
      <w:r>
        <w:rPr>
          <w:rFonts w:ascii="宋体" w:hAnsi="宋体" w:cs="宋体"/>
          <w:bCs/>
          <w:color w:val="000000"/>
          <w:sz w:val="24"/>
          <w:highlight w:val="none"/>
          <w:lang w:val="en-US" w:eastAsia="zh-CN"/>
        </w:rPr>
        <w:t xml:space="preserve">.1树干涂白时间及配方</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（1）当月平均气温降至5℃以下，应对树木进行涂白。</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（2）涂白剂配方为生石灰：石硫合剂：水=5：2：3</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10</w:t>
      </w:r>
      <w:r>
        <w:rPr>
          <w:rFonts w:ascii="宋体" w:hAnsi="宋体" w:cs="宋体"/>
          <w:bCs/>
          <w:color w:val="000000"/>
          <w:sz w:val="24"/>
          <w:highlight w:val="none"/>
          <w:lang w:val="en-US" w:eastAsia="zh-CN"/>
        </w:rPr>
        <w:t xml:space="preserve">.2 涂白要求</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（1）使用要将涂白剂充分搅拌，以利刷匀。</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（2）在使用涂白剂前，仔细检查，如发现树干上已有害虫蛀孔，要用棉花浸药（内吸性农药如氧化乐果等）把蛀孔堵住后再进行涂白处理。</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（3）大乔木（含行道树、林带或孤值景观树）一、二级区域涂白高度在离地1.2米，并且要保持同一高度，以利美观。三级区域行道树与孤值景观树为1.2米，林带为1.0米。</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小乔木、花木呈群落式种植的，同品种、同规格的高度应统一，高度在50cm—100cm之间。</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（4）涂白前应清理树木附着死皮，涂抹要均匀，确保涂白剂与树干充分粘合，并要防止滴洒在周围的路面上或树池中，影响美观。</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10</w:t>
      </w:r>
      <w:r>
        <w:rPr>
          <w:rFonts w:ascii="宋体" w:hAnsi="宋体" w:cs="宋体"/>
          <w:bCs/>
          <w:color w:val="000000"/>
          <w:sz w:val="24"/>
          <w:highlight w:val="none"/>
          <w:lang w:val="en-US" w:eastAsia="zh-CN"/>
        </w:rPr>
        <w:t xml:space="preserve">.3 树木保暖防冻</w:t>
      </w:r>
      <w:r>
        <w:rPr>
          <w:rFonts w:ascii="宋体" w:hAnsi="宋体" w:cs="宋体"/>
          <w:bCs/>
          <w:color w:val="000000"/>
          <w:sz w:val="24"/>
          <w:highlight w:val="none"/>
          <w:lang w:val="en-US" w:eastAsia="zh-CN"/>
        </w:rPr>
      </w:r>
      <w:r/>
    </w:p>
    <w:p>
      <w:pPr>
        <w:pStyle w:val="825"/>
        <w:contextualSpacing/>
        <w:ind w:left="0" w:firstLine="480"/>
        <w:keepLines w:val="0"/>
        <w:keepNext w:val="0"/>
        <w:pageBreakBefore w:val="0"/>
        <w:spacing w:line="500" w:lineRule="exact"/>
        <w:tabs>
          <w:tab w:val="left" w:pos="567" w:leader="none"/>
          <w:tab w:val="left" w:pos="1134" w:leader="none"/>
        </w:tabs>
        <w:rPr>
          <w:rFonts w:ascii="宋体" w:hAnsi="宋体" w:cs="宋体"/>
          <w:bCs/>
          <w:color w:val="000000"/>
          <w:sz w:val="24"/>
          <w:highlight w:val="none"/>
          <w:lang w:val="en-US" w:eastAsia="zh-CN"/>
        </w:rPr>
      </w:pPr>
      <w:r>
        <w:rPr>
          <w:rFonts w:ascii="宋体" w:hAnsi="宋体" w:cs="宋体"/>
          <w:bCs/>
          <w:color w:val="000000"/>
          <w:sz w:val="24"/>
          <w:highlight w:val="none"/>
          <w:lang w:val="en-US" w:eastAsia="zh-CN"/>
        </w:rPr>
        <w:t xml:space="preserve">（1）每年初冬，均需对行道树进行抗冻处理（根基培土），并在树木的休眠期内，进行扶正，易发生冻害树木主干包扎。</w:t>
      </w:r>
      <w:r>
        <w:rPr>
          <w:rFonts w:ascii="宋体" w:hAnsi="宋体" w:cs="宋体"/>
          <w:bCs/>
          <w:color w:val="000000"/>
          <w:sz w:val="24"/>
          <w:highlight w:val="none"/>
          <w:lang w:val="en-US" w:eastAsia="zh-CN"/>
        </w:rPr>
      </w:r>
      <w:r/>
    </w:p>
    <w:p>
      <w:pPr>
        <w:pStyle w:val="825"/>
        <w:jc w:val="center"/>
        <w:spacing w:line="52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25"/>
        <w:jc w:val="center"/>
        <w:spacing w:line="52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25"/>
        <w:jc w:val="center"/>
        <w:spacing w:line="520" w:lineRule="exact"/>
        <w:widowControl/>
        <w:rPr>
          <w:rFonts w:ascii="宋体" w:hAnsi="宋体" w:cs="宋体"/>
          <w:b/>
          <w:color w:val="000000"/>
          <w:szCs w:val="21"/>
          <w:highlight w:val="none"/>
        </w:rPr>
      </w:pPr>
      <w:r>
        <w:rPr>
          <w:rFonts w:hint="eastAsia" w:ascii="宋体" w:hAnsi="宋体" w:cs="宋体"/>
          <w:b/>
          <w:color w:val="000000"/>
          <w:szCs w:val="21"/>
          <w:highlight w:val="none"/>
        </w:rPr>
        <w:t xml:space="preserve">表A 主要病害及防治方法</w:t>
      </w:r>
      <w:r>
        <w:rPr>
          <w:rFonts w:ascii="宋体" w:hAnsi="宋体" w:cs="宋体"/>
          <w:b/>
          <w:color w:val="000000"/>
          <w:szCs w:val="21"/>
          <w:highlight w:val="none"/>
        </w:rPr>
      </w:r>
      <w:r/>
    </w:p>
    <w:tbl>
      <w:tblPr>
        <w:tblW w:w="9815"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925"/>
        <w:gridCol w:w="1920"/>
        <w:gridCol w:w="851"/>
        <w:gridCol w:w="1486"/>
        <w:gridCol w:w="4633"/>
      </w:tblGrid>
      <w:tr>
        <w:trPr>
          <w:trHeight w:val="755" w:hRule="exact"/>
        </w:trPr>
        <w:tc>
          <w:tcPr>
            <w:shd w:val="clear" w:color="auto" w:fill="ffffff"/>
            <w:tcW w:w="925" w:type="dxa"/>
            <w:vAlign w:val="center"/>
            <w:textDirection w:val="lrTb"/>
            <w:noWrap w:val="false"/>
          </w:tcPr>
          <w:p>
            <w:pPr>
              <w:pStyle w:val="1083"/>
              <w:ind w:left="0"/>
              <w:jc w:val="center"/>
              <w:spacing w:line="240" w:lineRule="exact"/>
              <w:shd w:val="clear" w:color="auto" w:fill="auto"/>
              <w:rPr>
                <w:rFonts w:ascii="宋体" w:hAnsi="宋体" w:eastAsia="宋体" w:cs="宋体"/>
                <w:b/>
                <w:color w:val="000000"/>
                <w:sz w:val="18"/>
                <w:szCs w:val="18"/>
                <w:highlight w:val="none"/>
                <w:lang w:val="en-US" w:eastAsia="zh-CN"/>
              </w:rPr>
            </w:pPr>
            <w:r>
              <w:rPr>
                <w:rFonts w:ascii="宋体" w:hAnsi="宋体" w:eastAsia="宋体" w:cs="宋体"/>
                <w:b/>
                <w:color w:val="000000"/>
                <w:sz w:val="18"/>
                <w:szCs w:val="18"/>
                <w:highlight w:val="none"/>
                <w:lang w:val="en-US" w:eastAsia="zh-CN"/>
              </w:rPr>
            </w:r>
            <w:r/>
          </w:p>
          <w:p>
            <w:pPr>
              <w:pStyle w:val="1083"/>
              <w:ind w:left="0"/>
              <w:jc w:val="center"/>
              <w:spacing w:line="240" w:lineRule="exact"/>
              <w:shd w:val="clear" w:color="auto" w:fill="auto"/>
              <w:rPr>
                <w:rFonts w:ascii="宋体" w:hAnsi="宋体" w:eastAsia="宋体" w:cs="宋体"/>
                <w:b/>
                <w:color w:val="000000"/>
                <w:sz w:val="18"/>
                <w:szCs w:val="18"/>
                <w:highlight w:val="none"/>
                <w:lang w:eastAsia="zh-CN"/>
              </w:rPr>
            </w:pPr>
            <w:r>
              <w:rPr>
                <w:rFonts w:hint="eastAsia" w:ascii="宋体" w:hAnsi="宋体" w:eastAsia="宋体" w:cs="宋体"/>
                <w:b/>
                <w:color w:val="000000"/>
                <w:sz w:val="18"/>
                <w:szCs w:val="18"/>
                <w:highlight w:val="none"/>
                <w:lang w:eastAsia="zh-CN"/>
              </w:rPr>
              <w:t xml:space="preserve">病害种类</w:t>
            </w:r>
            <w:r>
              <w:rPr>
                <w:rFonts w:ascii="宋体" w:hAnsi="宋体" w:eastAsia="宋体" w:cs="宋体"/>
                <w:b/>
                <w:color w:val="000000"/>
                <w:sz w:val="18"/>
                <w:szCs w:val="18"/>
                <w:highlight w:val="none"/>
                <w:lang w:eastAsia="zh-CN"/>
              </w:rPr>
            </w:r>
            <w:r/>
          </w:p>
          <w:p>
            <w:pPr>
              <w:pStyle w:val="1083"/>
              <w:ind w:left="0"/>
              <w:jc w:val="center"/>
              <w:spacing w:line="240" w:lineRule="auto"/>
              <w:shd w:val="clear" w:color="auto" w:fill="auto"/>
              <w:rPr>
                <w:rFonts w:ascii="宋体" w:hAnsi="宋体" w:eastAsia="宋体" w:cs="宋体"/>
                <w:b/>
                <w:color w:val="000000"/>
                <w:sz w:val="18"/>
                <w:szCs w:val="18"/>
                <w:highlight w:val="none"/>
                <w:lang w:eastAsia="zh-CN"/>
              </w:rPr>
            </w:pPr>
            <w:r>
              <w:rPr>
                <w:rFonts w:ascii="宋体" w:hAnsi="宋体" w:eastAsia="宋体" w:cs="宋体"/>
                <w:b/>
                <w:color w:val="000000"/>
                <w:sz w:val="18"/>
                <w:szCs w:val="18"/>
                <w:highlight w:val="none"/>
                <w:lang w:eastAsia="zh-CN"/>
              </w:rPr>
            </w:r>
            <w:r/>
          </w:p>
          <w:p>
            <w:pPr>
              <w:pStyle w:val="1083"/>
              <w:ind w:left="0"/>
              <w:jc w:val="center"/>
              <w:spacing w:line="240" w:lineRule="auto"/>
              <w:shd w:val="clear" w:color="auto" w:fill="auto"/>
              <w:rPr>
                <w:rFonts w:ascii="宋体" w:hAnsi="宋体" w:eastAsia="宋体" w:cs="宋体"/>
                <w:b/>
                <w:color w:val="000000"/>
                <w:sz w:val="18"/>
                <w:szCs w:val="18"/>
                <w:highlight w:val="none"/>
                <w:lang w:eastAsia="zh-CN"/>
              </w:rPr>
            </w:pPr>
            <w:r>
              <w:rPr>
                <w:rFonts w:ascii="宋体" w:hAnsi="宋体" w:eastAsia="宋体" w:cs="宋体"/>
                <w:b/>
                <w:color w:val="000000"/>
                <w:sz w:val="18"/>
                <w:szCs w:val="18"/>
                <w:highlight w:val="none"/>
                <w:lang w:eastAsia="zh-CN"/>
              </w:rPr>
            </w:r>
            <w:r/>
          </w:p>
          <w:p>
            <w:pPr>
              <w:pStyle w:val="1083"/>
              <w:ind w:left="0"/>
              <w:jc w:val="center"/>
              <w:spacing w:line="240" w:lineRule="auto"/>
              <w:shd w:val="clear" w:color="auto" w:fill="auto"/>
              <w:rPr>
                <w:rFonts w:ascii="宋体" w:hAnsi="宋体" w:eastAsia="宋体" w:cs="宋体"/>
                <w:b/>
                <w:color w:val="000000"/>
                <w:sz w:val="18"/>
                <w:szCs w:val="18"/>
                <w:highlight w:val="none"/>
                <w:lang w:eastAsia="zh-CN"/>
              </w:rPr>
            </w:pPr>
            <w:r>
              <w:rPr>
                <w:rFonts w:ascii="宋体" w:hAnsi="宋体" w:eastAsia="宋体" w:cs="宋体"/>
                <w:b/>
                <w:color w:val="000000"/>
                <w:sz w:val="18"/>
                <w:szCs w:val="18"/>
                <w:highlight w:val="none"/>
                <w:lang w:eastAsia="zh-CN"/>
              </w:rPr>
            </w:r>
            <w:r/>
          </w:p>
          <w:p>
            <w:pPr>
              <w:pStyle w:val="1083"/>
              <w:ind w:left="0"/>
              <w:jc w:val="center"/>
              <w:spacing w:line="240" w:lineRule="auto"/>
              <w:shd w:val="clear" w:color="auto" w:fill="auto"/>
              <w:rPr>
                <w:rFonts w:ascii="宋体" w:hAnsi="宋体" w:eastAsia="宋体" w:cs="宋体"/>
                <w:b/>
                <w:color w:val="000000"/>
                <w:sz w:val="18"/>
                <w:szCs w:val="18"/>
                <w:highlight w:val="none"/>
                <w:lang w:eastAsia="zh-CN"/>
              </w:rPr>
            </w:pPr>
            <w:r>
              <w:rPr>
                <w:rFonts w:ascii="宋体" w:hAnsi="宋体" w:eastAsia="宋体" w:cs="宋体"/>
                <w:b/>
                <w:color w:val="000000"/>
                <w:sz w:val="18"/>
                <w:szCs w:val="18"/>
                <w:highlight w:val="none"/>
                <w:lang w:eastAsia="zh-CN"/>
              </w:rPr>
            </w:r>
            <w:r/>
          </w:p>
          <w:p>
            <w:pPr>
              <w:pStyle w:val="1083"/>
              <w:ind w:left="0"/>
              <w:jc w:val="center"/>
              <w:spacing w:line="240" w:lineRule="auto"/>
              <w:shd w:val="clear" w:color="auto" w:fill="auto"/>
              <w:rPr>
                <w:rFonts w:ascii="宋体" w:hAnsi="宋体" w:eastAsia="宋体" w:cs="宋体"/>
                <w:b/>
                <w:color w:val="000000"/>
                <w:sz w:val="18"/>
                <w:szCs w:val="18"/>
                <w:highlight w:val="none"/>
                <w:lang w:eastAsia="zh-CN"/>
              </w:rPr>
            </w:pPr>
            <w:r>
              <w:rPr>
                <w:rFonts w:ascii="宋体" w:hAnsi="宋体" w:eastAsia="宋体" w:cs="宋体"/>
                <w:b/>
                <w:color w:val="000000"/>
                <w:sz w:val="18"/>
                <w:szCs w:val="18"/>
                <w:highlight w:val="none"/>
                <w:lang w:eastAsia="zh-CN"/>
              </w:rPr>
            </w:r>
            <w:r/>
          </w:p>
        </w:tc>
        <w:tc>
          <w:tcPr>
            <w:shd w:val="clear" w:color="auto" w:fill="ffffff"/>
            <w:tcW w:w="1920" w:type="dxa"/>
            <w:vAlign w:val="center"/>
            <w:textDirection w:val="lrTb"/>
            <w:noWrap w:val="false"/>
          </w:tcPr>
          <w:p>
            <w:pPr>
              <w:pStyle w:val="1083"/>
              <w:ind w:left="0"/>
              <w:jc w:val="center"/>
              <w:spacing w:line="240" w:lineRule="exact"/>
              <w:shd w:val="clear" w:color="auto" w:fill="auto"/>
              <w:rPr>
                <w:rFonts w:ascii="宋体" w:hAnsi="宋体" w:eastAsia="宋体" w:cs="宋体"/>
                <w:b/>
                <w:color w:val="000000"/>
                <w:sz w:val="18"/>
                <w:szCs w:val="18"/>
                <w:highlight w:val="none"/>
                <w:lang w:eastAsia="zh-CN"/>
              </w:rPr>
            </w:pPr>
            <w:r>
              <w:rPr>
                <w:rFonts w:ascii="宋体" w:hAnsi="宋体" w:eastAsia="宋体" w:cs="宋体"/>
                <w:b/>
                <w:color w:val="000000"/>
                <w:sz w:val="18"/>
                <w:szCs w:val="18"/>
                <w:highlight w:val="none"/>
                <w:lang w:eastAsia="zh-CN"/>
              </w:rPr>
            </w:r>
            <w:r/>
          </w:p>
          <w:p>
            <w:pPr>
              <w:pStyle w:val="1083"/>
              <w:ind w:left="0"/>
              <w:jc w:val="center"/>
              <w:spacing w:line="240" w:lineRule="exact"/>
              <w:shd w:val="clear" w:color="auto" w:fill="auto"/>
              <w:rPr>
                <w:rFonts w:ascii="宋体" w:hAnsi="宋体" w:eastAsia="宋体" w:cs="宋体"/>
                <w:b/>
                <w:color w:val="000000"/>
                <w:sz w:val="18"/>
                <w:szCs w:val="18"/>
                <w:highlight w:val="none"/>
                <w:lang w:eastAsia="zh-CN"/>
              </w:rPr>
            </w:pPr>
            <w:r>
              <w:rPr>
                <w:rFonts w:hint="eastAsia" w:ascii="宋体" w:hAnsi="宋体" w:eastAsia="宋体" w:cs="宋体"/>
                <w:b/>
                <w:color w:val="000000"/>
                <w:sz w:val="18"/>
                <w:szCs w:val="18"/>
                <w:highlight w:val="none"/>
                <w:lang w:eastAsia="zh-CN"/>
              </w:rPr>
              <w:t xml:space="preserve">病源</w:t>
            </w:r>
            <w:r>
              <w:rPr>
                <w:rFonts w:ascii="宋体" w:hAnsi="宋体" w:eastAsia="宋体" w:cs="宋体"/>
                <w:b/>
                <w:color w:val="000000"/>
                <w:sz w:val="18"/>
                <w:szCs w:val="18"/>
                <w:highlight w:val="none"/>
                <w:lang w:eastAsia="zh-CN"/>
              </w:rPr>
            </w:r>
            <w:r/>
          </w:p>
          <w:p>
            <w:pPr>
              <w:pStyle w:val="1083"/>
              <w:ind w:left="0"/>
              <w:jc w:val="center"/>
              <w:spacing w:line="240" w:lineRule="auto"/>
              <w:shd w:val="clear" w:color="auto" w:fill="auto"/>
              <w:rPr>
                <w:rFonts w:ascii="宋体" w:hAnsi="宋体" w:eastAsia="宋体" w:cs="宋体"/>
                <w:b/>
                <w:color w:val="000000"/>
                <w:sz w:val="18"/>
                <w:szCs w:val="18"/>
                <w:highlight w:val="none"/>
                <w:lang w:eastAsia="zh-CN"/>
              </w:rPr>
            </w:pPr>
            <w:r>
              <w:rPr>
                <w:rFonts w:ascii="宋体" w:hAnsi="宋体" w:eastAsia="宋体" w:cs="宋体"/>
                <w:b/>
                <w:color w:val="000000"/>
                <w:sz w:val="18"/>
                <w:szCs w:val="18"/>
                <w:highlight w:val="none"/>
                <w:lang w:eastAsia="zh-CN"/>
              </w:rPr>
            </w:r>
            <w:r/>
          </w:p>
          <w:p>
            <w:pPr>
              <w:pStyle w:val="1083"/>
              <w:ind w:left="0"/>
              <w:jc w:val="center"/>
              <w:spacing w:line="240" w:lineRule="auto"/>
              <w:shd w:val="clear" w:color="auto" w:fill="auto"/>
              <w:rPr>
                <w:rFonts w:ascii="宋体" w:hAnsi="宋体" w:eastAsia="宋体" w:cs="宋体"/>
                <w:b/>
                <w:color w:val="000000"/>
                <w:sz w:val="18"/>
                <w:szCs w:val="18"/>
                <w:highlight w:val="none"/>
                <w:lang w:eastAsia="zh-CN"/>
              </w:rPr>
            </w:pPr>
            <w:r>
              <w:rPr>
                <w:rFonts w:ascii="宋体" w:hAnsi="宋体" w:eastAsia="宋体" w:cs="宋体"/>
                <w:b/>
                <w:color w:val="000000"/>
                <w:sz w:val="18"/>
                <w:szCs w:val="18"/>
                <w:highlight w:val="none"/>
                <w:lang w:eastAsia="zh-CN"/>
              </w:rPr>
            </w:r>
            <w:r/>
          </w:p>
          <w:p>
            <w:pPr>
              <w:pStyle w:val="1083"/>
              <w:ind w:left="0"/>
              <w:jc w:val="center"/>
              <w:spacing w:line="240" w:lineRule="auto"/>
              <w:shd w:val="clear" w:color="auto" w:fill="auto"/>
              <w:rPr>
                <w:rFonts w:ascii="宋体" w:hAnsi="宋体" w:eastAsia="宋体" w:cs="宋体"/>
                <w:b/>
                <w:color w:val="000000"/>
                <w:sz w:val="18"/>
                <w:szCs w:val="18"/>
                <w:highlight w:val="none"/>
                <w:lang w:eastAsia="zh-CN"/>
              </w:rPr>
            </w:pPr>
            <w:r>
              <w:rPr>
                <w:rFonts w:ascii="宋体" w:hAnsi="宋体" w:eastAsia="宋体" w:cs="宋体"/>
                <w:b/>
                <w:color w:val="000000"/>
                <w:sz w:val="18"/>
                <w:szCs w:val="18"/>
                <w:highlight w:val="none"/>
                <w:lang w:eastAsia="zh-CN"/>
              </w:rPr>
            </w:r>
            <w:r/>
          </w:p>
          <w:p>
            <w:pPr>
              <w:pStyle w:val="1083"/>
              <w:ind w:left="0"/>
              <w:jc w:val="center"/>
              <w:spacing w:line="240" w:lineRule="auto"/>
              <w:shd w:val="clear" w:color="auto" w:fill="auto"/>
              <w:rPr>
                <w:rFonts w:ascii="宋体" w:hAnsi="宋体" w:eastAsia="宋体" w:cs="宋体"/>
                <w:b/>
                <w:color w:val="000000"/>
                <w:sz w:val="18"/>
                <w:szCs w:val="18"/>
                <w:highlight w:val="none"/>
                <w:lang w:eastAsia="zh-CN"/>
              </w:rPr>
            </w:pPr>
            <w:r>
              <w:rPr>
                <w:rFonts w:ascii="宋体" w:hAnsi="宋体" w:eastAsia="宋体" w:cs="宋体"/>
                <w:b/>
                <w:color w:val="000000"/>
                <w:sz w:val="18"/>
                <w:szCs w:val="18"/>
                <w:highlight w:val="none"/>
                <w:lang w:eastAsia="zh-CN"/>
              </w:rPr>
            </w:r>
            <w:r/>
          </w:p>
        </w:tc>
        <w:tc>
          <w:tcPr>
            <w:shd w:val="clear" w:color="auto" w:fill="ffffff"/>
            <w:tcW w:w="851" w:type="dxa"/>
            <w:vAlign w:val="center"/>
            <w:textDirection w:val="lrTb"/>
            <w:noWrap w:val="false"/>
          </w:tcPr>
          <w:p>
            <w:pPr>
              <w:pStyle w:val="1083"/>
              <w:ind w:left="0"/>
              <w:jc w:val="center"/>
              <w:spacing w:line="240" w:lineRule="auto"/>
              <w:shd w:val="clear" w:color="auto" w:fill="auto"/>
              <w:rPr>
                <w:rFonts w:ascii="宋体" w:hAnsi="宋体" w:eastAsia="宋体" w:cs="宋体"/>
                <w:b/>
                <w:color w:val="000000"/>
                <w:sz w:val="18"/>
                <w:szCs w:val="18"/>
                <w:highlight w:val="none"/>
                <w:lang w:eastAsia="zh-CN"/>
              </w:rPr>
            </w:pPr>
            <w:r>
              <w:rPr>
                <w:rFonts w:hint="eastAsia" w:ascii="宋体" w:hAnsi="宋体" w:eastAsia="宋体" w:cs="宋体"/>
                <w:b/>
                <w:color w:val="000000"/>
                <w:sz w:val="18"/>
                <w:szCs w:val="18"/>
                <w:highlight w:val="none"/>
                <w:lang w:eastAsia="zh-CN"/>
              </w:rPr>
              <w:t xml:space="preserve">危害</w:t>
            </w:r>
            <w:r>
              <w:rPr>
                <w:rFonts w:ascii="宋体" w:hAnsi="宋体" w:eastAsia="宋体" w:cs="宋体"/>
                <w:b/>
                <w:color w:val="000000"/>
                <w:sz w:val="18"/>
                <w:szCs w:val="18"/>
                <w:highlight w:val="none"/>
                <w:lang w:eastAsia="zh-CN"/>
              </w:rPr>
            </w:r>
            <w:r/>
          </w:p>
          <w:p>
            <w:pPr>
              <w:pStyle w:val="1083"/>
              <w:ind w:left="0"/>
              <w:jc w:val="center"/>
              <w:spacing w:line="240" w:lineRule="auto"/>
              <w:shd w:val="clear" w:color="auto" w:fill="auto"/>
              <w:rPr>
                <w:rFonts w:ascii="宋体" w:hAnsi="宋体" w:eastAsia="宋体" w:cs="宋体"/>
                <w:b/>
                <w:color w:val="000000"/>
                <w:sz w:val="18"/>
                <w:szCs w:val="18"/>
                <w:highlight w:val="none"/>
                <w:lang w:eastAsia="zh-CN"/>
              </w:rPr>
            </w:pPr>
            <w:r>
              <w:rPr>
                <w:rFonts w:hint="eastAsia" w:ascii="宋体" w:hAnsi="宋体" w:eastAsia="宋体" w:cs="宋体"/>
                <w:b/>
                <w:color w:val="000000"/>
                <w:sz w:val="18"/>
                <w:szCs w:val="18"/>
                <w:highlight w:val="none"/>
                <w:lang w:eastAsia="zh-CN"/>
              </w:rPr>
              <w:t xml:space="preserve">部位</w:t>
            </w:r>
            <w:r>
              <w:rPr>
                <w:rFonts w:ascii="宋体" w:hAnsi="宋体" w:eastAsia="宋体" w:cs="宋体"/>
                <w:b/>
                <w:color w:val="000000"/>
                <w:sz w:val="18"/>
                <w:szCs w:val="18"/>
                <w:highlight w:val="none"/>
                <w:lang w:eastAsia="zh-CN"/>
              </w:rPr>
            </w:r>
            <w:r/>
          </w:p>
        </w:tc>
        <w:tc>
          <w:tcPr>
            <w:shd w:val="clear" w:color="auto" w:fill="ffffff"/>
            <w:tcW w:w="1486" w:type="dxa"/>
            <w:vAlign w:val="center"/>
            <w:textDirection w:val="lrTb"/>
            <w:noWrap w:val="false"/>
          </w:tcPr>
          <w:p>
            <w:pPr>
              <w:pStyle w:val="1083"/>
              <w:ind w:left="0"/>
              <w:jc w:val="center"/>
              <w:spacing w:line="240" w:lineRule="auto"/>
              <w:shd w:val="clear" w:color="auto" w:fill="auto"/>
              <w:rPr>
                <w:rFonts w:ascii="宋体" w:hAnsi="宋体" w:eastAsia="宋体" w:cs="宋体"/>
                <w:b/>
                <w:color w:val="000000"/>
                <w:sz w:val="18"/>
                <w:szCs w:val="18"/>
                <w:highlight w:val="none"/>
                <w:lang w:eastAsia="zh-CN"/>
              </w:rPr>
            </w:pPr>
            <w:r>
              <w:rPr>
                <w:rFonts w:hint="eastAsia" w:ascii="宋体" w:hAnsi="宋体" w:eastAsia="宋体" w:cs="宋体"/>
                <w:b/>
                <w:color w:val="000000"/>
                <w:sz w:val="18"/>
                <w:szCs w:val="18"/>
                <w:highlight w:val="none"/>
                <w:lang w:eastAsia="zh-CN"/>
              </w:rPr>
              <w:t xml:space="preserve">主要危害</w:t>
            </w:r>
            <w:r>
              <w:rPr>
                <w:rFonts w:ascii="宋体" w:hAnsi="宋体" w:eastAsia="宋体" w:cs="宋体"/>
                <w:b/>
                <w:color w:val="000000"/>
                <w:sz w:val="18"/>
                <w:szCs w:val="18"/>
                <w:highlight w:val="none"/>
                <w:lang w:eastAsia="zh-CN"/>
              </w:rPr>
            </w:r>
            <w:r/>
          </w:p>
          <w:p>
            <w:pPr>
              <w:pStyle w:val="1083"/>
              <w:ind w:left="0"/>
              <w:jc w:val="center"/>
              <w:spacing w:line="240" w:lineRule="auto"/>
              <w:shd w:val="clear" w:color="auto" w:fill="auto"/>
              <w:rPr>
                <w:rFonts w:ascii="宋体" w:hAnsi="宋体" w:eastAsia="宋体" w:cs="宋体"/>
                <w:b/>
                <w:color w:val="000000"/>
                <w:sz w:val="18"/>
                <w:szCs w:val="18"/>
                <w:highlight w:val="none"/>
                <w:lang w:eastAsia="zh-CN"/>
              </w:rPr>
            </w:pPr>
            <w:r>
              <w:rPr>
                <w:rFonts w:hint="eastAsia" w:ascii="宋体" w:hAnsi="宋体" w:eastAsia="宋体" w:cs="宋体"/>
                <w:b/>
                <w:color w:val="000000"/>
                <w:sz w:val="18"/>
                <w:szCs w:val="18"/>
                <w:highlight w:val="none"/>
                <w:lang w:eastAsia="zh-CN"/>
              </w:rPr>
              <w:t xml:space="preserve">时间</w:t>
            </w:r>
            <w:r>
              <w:rPr>
                <w:rFonts w:ascii="宋体" w:hAnsi="宋体" w:eastAsia="宋体" w:cs="宋体"/>
                <w:b/>
                <w:color w:val="000000"/>
                <w:sz w:val="18"/>
                <w:szCs w:val="18"/>
                <w:highlight w:val="none"/>
                <w:lang w:eastAsia="zh-CN"/>
              </w:rPr>
            </w:r>
            <w:r/>
          </w:p>
        </w:tc>
        <w:tc>
          <w:tcPr>
            <w:shd w:val="clear" w:color="auto" w:fill="ffffff"/>
            <w:tcW w:w="4633" w:type="dxa"/>
            <w:vAlign w:val="center"/>
            <w:textDirection w:val="lrTb"/>
            <w:noWrap w:val="false"/>
          </w:tcPr>
          <w:p>
            <w:pPr>
              <w:pStyle w:val="1083"/>
              <w:ind w:left="0"/>
              <w:jc w:val="center"/>
              <w:spacing w:line="240" w:lineRule="exact"/>
              <w:shd w:val="clear" w:color="auto" w:fill="auto"/>
              <w:rPr>
                <w:rFonts w:ascii="宋体" w:hAnsi="宋体" w:eastAsia="宋体" w:cs="宋体"/>
                <w:b/>
                <w:color w:val="000000"/>
                <w:sz w:val="18"/>
                <w:szCs w:val="18"/>
                <w:highlight w:val="none"/>
                <w:lang w:eastAsia="zh-CN"/>
              </w:rPr>
            </w:pPr>
            <w:r>
              <w:rPr>
                <w:rFonts w:ascii="宋体" w:hAnsi="宋体" w:eastAsia="宋体" w:cs="宋体"/>
                <w:b/>
                <w:color w:val="000000"/>
                <w:sz w:val="18"/>
                <w:szCs w:val="18"/>
                <w:highlight w:val="none"/>
                <w:lang w:eastAsia="zh-CN"/>
              </w:rPr>
            </w:r>
            <w:r/>
          </w:p>
          <w:p>
            <w:pPr>
              <w:pStyle w:val="1083"/>
              <w:ind w:left="0"/>
              <w:jc w:val="center"/>
              <w:spacing w:line="240" w:lineRule="exact"/>
              <w:shd w:val="clear" w:color="auto" w:fill="auto"/>
              <w:rPr>
                <w:rFonts w:ascii="宋体" w:hAnsi="宋体" w:eastAsia="宋体" w:cs="宋体"/>
                <w:b/>
                <w:color w:val="000000"/>
                <w:sz w:val="18"/>
                <w:szCs w:val="18"/>
                <w:highlight w:val="none"/>
                <w:lang w:eastAsia="zh-CN"/>
              </w:rPr>
            </w:pPr>
            <w:r>
              <w:rPr>
                <w:rFonts w:hint="eastAsia" w:ascii="宋体" w:hAnsi="宋体" w:eastAsia="宋体" w:cs="宋体"/>
                <w:b/>
                <w:color w:val="000000"/>
                <w:sz w:val="18"/>
                <w:szCs w:val="18"/>
                <w:highlight w:val="none"/>
                <w:lang w:eastAsia="zh-CN"/>
              </w:rPr>
              <w:t xml:space="preserve">防治方法</w:t>
            </w:r>
            <w:r>
              <w:rPr>
                <w:rFonts w:ascii="宋体" w:hAnsi="宋体" w:eastAsia="宋体" w:cs="宋体"/>
                <w:b/>
                <w:color w:val="000000"/>
                <w:sz w:val="18"/>
                <w:szCs w:val="18"/>
                <w:highlight w:val="none"/>
                <w:lang w:eastAsia="zh-CN"/>
              </w:rPr>
            </w:r>
            <w:r/>
          </w:p>
          <w:p>
            <w:pPr>
              <w:pStyle w:val="1083"/>
              <w:ind w:left="0"/>
              <w:jc w:val="center"/>
              <w:spacing w:before="340" w:line="240" w:lineRule="auto"/>
              <w:shd w:val="clear" w:color="auto" w:fill="auto"/>
              <w:rPr>
                <w:rFonts w:ascii="宋体" w:hAnsi="宋体" w:eastAsia="宋体" w:cs="宋体"/>
                <w:b/>
                <w:color w:val="000000"/>
                <w:sz w:val="18"/>
                <w:szCs w:val="18"/>
                <w:highlight w:val="none"/>
                <w:lang w:eastAsia="zh-CN"/>
              </w:rPr>
            </w:pPr>
            <w:r>
              <w:rPr>
                <w:rFonts w:ascii="宋体" w:hAnsi="宋体" w:eastAsia="宋体" w:cs="宋体"/>
                <w:b/>
                <w:color w:val="000000"/>
                <w:sz w:val="18"/>
                <w:szCs w:val="18"/>
                <w:highlight w:val="none"/>
                <w:lang w:eastAsia="zh-CN"/>
              </w:rPr>
            </w:r>
            <w:r/>
          </w:p>
          <w:p>
            <w:pPr>
              <w:pStyle w:val="1083"/>
              <w:ind w:left="0"/>
              <w:jc w:val="center"/>
              <w:spacing w:before="340" w:line="240" w:lineRule="auto"/>
              <w:shd w:val="clear" w:color="auto" w:fill="auto"/>
              <w:rPr>
                <w:rFonts w:ascii="宋体" w:hAnsi="宋体" w:eastAsia="宋体" w:cs="宋体"/>
                <w:b/>
                <w:color w:val="000000"/>
                <w:sz w:val="18"/>
                <w:szCs w:val="18"/>
                <w:highlight w:val="none"/>
                <w:lang w:eastAsia="zh-CN"/>
              </w:rPr>
            </w:pPr>
            <w:r>
              <w:rPr>
                <w:rFonts w:ascii="宋体" w:hAnsi="宋体" w:eastAsia="宋体" w:cs="宋体"/>
                <w:b/>
                <w:color w:val="000000"/>
                <w:sz w:val="18"/>
                <w:szCs w:val="18"/>
                <w:highlight w:val="none"/>
                <w:lang w:eastAsia="zh-CN"/>
              </w:rPr>
            </w:r>
            <w:r/>
          </w:p>
          <w:p>
            <w:pPr>
              <w:pStyle w:val="1083"/>
              <w:ind w:left="0"/>
              <w:jc w:val="center"/>
              <w:spacing w:before="340" w:line="240" w:lineRule="auto"/>
              <w:shd w:val="clear" w:color="auto" w:fill="auto"/>
              <w:rPr>
                <w:rFonts w:ascii="宋体" w:hAnsi="宋体" w:eastAsia="宋体" w:cs="宋体"/>
                <w:b/>
                <w:color w:val="000000"/>
                <w:sz w:val="18"/>
                <w:szCs w:val="18"/>
                <w:highlight w:val="none"/>
                <w:lang w:eastAsia="zh-CN"/>
              </w:rPr>
            </w:pPr>
            <w:r>
              <w:rPr>
                <w:rFonts w:ascii="宋体" w:hAnsi="宋体" w:eastAsia="宋体" w:cs="宋体"/>
                <w:b/>
                <w:color w:val="000000"/>
                <w:sz w:val="18"/>
                <w:szCs w:val="18"/>
                <w:highlight w:val="none"/>
                <w:lang w:eastAsia="zh-CN"/>
              </w:rPr>
            </w:r>
            <w:r/>
          </w:p>
          <w:p>
            <w:pPr>
              <w:pStyle w:val="1083"/>
              <w:ind w:left="0"/>
              <w:jc w:val="center"/>
              <w:spacing w:before="340" w:line="240" w:lineRule="auto"/>
              <w:shd w:val="clear" w:color="auto" w:fill="auto"/>
              <w:rPr>
                <w:rFonts w:ascii="宋体" w:hAnsi="宋体" w:eastAsia="宋体" w:cs="宋体"/>
                <w:b/>
                <w:color w:val="000000"/>
                <w:sz w:val="18"/>
                <w:szCs w:val="18"/>
                <w:highlight w:val="none"/>
                <w:lang w:eastAsia="zh-CN"/>
              </w:rPr>
            </w:pPr>
            <w:r>
              <w:rPr>
                <w:rFonts w:ascii="宋体" w:hAnsi="宋体" w:eastAsia="宋体" w:cs="宋体"/>
                <w:b/>
                <w:color w:val="000000"/>
                <w:sz w:val="18"/>
                <w:szCs w:val="18"/>
                <w:highlight w:val="none"/>
                <w:lang w:eastAsia="zh-CN"/>
              </w:rPr>
            </w:r>
            <w:r/>
          </w:p>
          <w:p>
            <w:pPr>
              <w:pStyle w:val="1083"/>
              <w:ind w:left="0"/>
              <w:jc w:val="center"/>
              <w:spacing w:before="340" w:line="240" w:lineRule="auto"/>
              <w:shd w:val="clear" w:color="auto" w:fill="auto"/>
              <w:rPr>
                <w:rFonts w:ascii="宋体" w:hAnsi="宋体" w:eastAsia="宋体" w:cs="宋体"/>
                <w:b/>
                <w:color w:val="000000"/>
                <w:sz w:val="18"/>
                <w:szCs w:val="18"/>
                <w:highlight w:val="none"/>
                <w:lang w:eastAsia="zh-CN"/>
              </w:rPr>
            </w:pPr>
            <w:r>
              <w:rPr>
                <w:rFonts w:ascii="宋体" w:hAnsi="宋体" w:eastAsia="宋体" w:cs="宋体"/>
                <w:b/>
                <w:color w:val="000000"/>
                <w:sz w:val="18"/>
                <w:szCs w:val="18"/>
                <w:highlight w:val="none"/>
                <w:lang w:eastAsia="zh-CN"/>
              </w:rPr>
            </w:r>
            <w:r/>
          </w:p>
          <w:p>
            <w:pPr>
              <w:pStyle w:val="1083"/>
              <w:ind w:left="0"/>
              <w:jc w:val="center"/>
              <w:spacing w:before="340" w:line="240" w:lineRule="auto"/>
              <w:shd w:val="clear" w:color="auto" w:fill="auto"/>
              <w:rPr>
                <w:rFonts w:ascii="宋体" w:hAnsi="宋体" w:eastAsia="宋体" w:cs="宋体"/>
                <w:b/>
                <w:color w:val="000000"/>
                <w:sz w:val="18"/>
                <w:szCs w:val="18"/>
                <w:highlight w:val="none"/>
                <w:lang w:eastAsia="zh-CN"/>
              </w:rPr>
            </w:pPr>
            <w:r>
              <w:rPr>
                <w:rFonts w:ascii="宋体" w:hAnsi="宋体" w:eastAsia="宋体" w:cs="宋体"/>
                <w:b/>
                <w:color w:val="000000"/>
                <w:sz w:val="18"/>
                <w:szCs w:val="18"/>
                <w:highlight w:val="none"/>
                <w:lang w:eastAsia="zh-CN"/>
              </w:rPr>
            </w:r>
            <w:r/>
          </w:p>
        </w:tc>
      </w:tr>
      <w:tr>
        <w:trPr>
          <w:trHeight w:val="1524" w:hRule="exact"/>
        </w:trPr>
        <w:tc>
          <w:tcPr>
            <w:shd w:val="clear" w:color="auto" w:fill="ffffff"/>
            <w:tcW w:w="925"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白粉病</w:t>
            </w:r>
            <w:r>
              <w:rPr>
                <w:rFonts w:ascii="宋体" w:hAnsi="宋体" w:eastAsia="宋体" w:cs="宋体"/>
                <w:color w:val="000000"/>
                <w:sz w:val="18"/>
                <w:szCs w:val="18"/>
                <w:highlight w:val="none"/>
                <w:lang w:eastAsia="zh-CN"/>
              </w:rPr>
            </w:r>
            <w:r/>
          </w:p>
        </w:tc>
        <w:tc>
          <w:tcPr>
            <w:shd w:val="clear" w:color="auto" w:fill="ffffff"/>
            <w:tcW w:w="1920" w:type="dxa"/>
            <w:vAlign w:val="center"/>
            <w:textDirection w:val="lrTb"/>
            <w:noWrap w:val="false"/>
          </w:tcPr>
          <w:p>
            <w:pPr>
              <w:pStyle w:val="1083"/>
              <w:ind w:left="0"/>
              <w:jc w:val="center"/>
              <w:spacing w:line="240" w:lineRule="auto"/>
              <w:shd w:val="clear" w:color="auto" w:fill="auto"/>
              <w:rPr>
                <w:rFonts w:ascii="宋体" w:hAnsi="宋体" w:eastAsia="宋体" w:cs="宋体"/>
                <w:iCs/>
                <w:color w:val="000000"/>
                <w:sz w:val="18"/>
                <w:szCs w:val="18"/>
                <w:highlight w:val="none"/>
                <w:lang w:val="en-US" w:eastAsia="zh-CN" w:bidi="en-US"/>
              </w:rPr>
            </w:pPr>
            <w:r>
              <w:rPr>
                <w:rFonts w:hint="eastAsia" w:ascii="宋体" w:hAnsi="宋体" w:eastAsia="宋体" w:cs="宋体"/>
                <w:iCs/>
                <w:color w:val="000000"/>
                <w:sz w:val="18"/>
                <w:szCs w:val="18"/>
                <w:highlight w:val="none"/>
                <w:lang w:val="en-US" w:eastAsia="zh-CN" w:bidi="en-US"/>
              </w:rPr>
              <w:t xml:space="preserve">蔷薇单囊壳菌</w:t>
            </w:r>
            <w:r>
              <w:rPr>
                <w:rFonts w:ascii="宋体" w:hAnsi="宋体" w:eastAsia="宋体" w:cs="宋体"/>
                <w:iCs/>
                <w:color w:val="000000"/>
                <w:sz w:val="18"/>
                <w:szCs w:val="18"/>
                <w:highlight w:val="none"/>
                <w:lang w:val="en-US" w:eastAsia="zh-CN" w:bidi="en-US"/>
              </w:rPr>
            </w:r>
            <w:r/>
          </w:p>
          <w:p>
            <w:pPr>
              <w:pStyle w:val="1083"/>
              <w:ind w:left="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en-US" w:bidi="en-US"/>
              </w:rPr>
              <w:t xml:space="preserve">Sph</w:t>
            </w:r>
            <w:r>
              <w:rPr>
                <w:rFonts w:hint="eastAsia" w:ascii="宋体" w:hAnsi="宋体" w:eastAsia="宋体" w:cs="宋体"/>
                <w:i/>
                <w:iCs/>
                <w:color w:val="000000"/>
                <w:sz w:val="18"/>
                <w:szCs w:val="18"/>
                <w:highlight w:val="none"/>
                <w:lang w:val="en-US" w:eastAsia="zh-CN" w:bidi="en-US"/>
              </w:rPr>
              <w:t xml:space="preserve">a</w:t>
            </w:r>
            <w:r>
              <w:rPr>
                <w:rFonts w:hint="eastAsia" w:ascii="宋体" w:hAnsi="宋体" w:eastAsia="宋体" w:cs="宋体"/>
                <w:i/>
                <w:iCs/>
                <w:color w:val="000000"/>
                <w:sz w:val="18"/>
                <w:szCs w:val="18"/>
                <w:highlight w:val="none"/>
                <w:lang w:val="en-US" w:eastAsia="en-US" w:bidi="en-US"/>
              </w:rPr>
              <w:t xml:space="preserve">reotheca pannos</w:t>
            </w:r>
            <w:r>
              <w:rPr>
                <w:rFonts w:hint="eastAsia" w:ascii="宋体" w:hAnsi="宋体" w:eastAsia="宋体" w:cs="宋体"/>
                <w:i/>
                <w:iCs/>
                <w:color w:val="000000"/>
                <w:sz w:val="18"/>
                <w:szCs w:val="18"/>
                <w:highlight w:val="none"/>
                <w:lang w:val="en-US" w:eastAsia="zh-CN" w:bidi="en-US"/>
              </w:rPr>
              <w:t xml:space="preserve">a</w:t>
            </w:r>
            <w:r>
              <w:rPr>
                <w:rFonts w:ascii="宋体" w:hAnsi="宋体" w:eastAsia="宋体" w:cs="宋体"/>
                <w:color w:val="000000"/>
                <w:sz w:val="18"/>
                <w:szCs w:val="18"/>
                <w:highlight w:val="none"/>
                <w:lang w:eastAsia="zh-CN"/>
              </w:rPr>
            </w:r>
            <w:r/>
          </w:p>
        </w:tc>
        <w:tc>
          <w:tcPr>
            <w:shd w:val="clear" w:color="auto" w:fill="ffffff"/>
            <w:tcW w:w="851" w:type="dxa"/>
            <w:vAlign w:val="center"/>
            <w:textDirection w:val="lrTb"/>
            <w:noWrap w:val="false"/>
          </w:tcPr>
          <w:p>
            <w:pPr>
              <w:pStyle w:val="1083"/>
              <w:ind w:left="0"/>
              <w:jc w:val="center"/>
              <w:spacing w:after="16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叶片、</w:t>
            </w:r>
            <w:r>
              <w:rPr>
                <w:rFonts w:ascii="宋体" w:hAnsi="宋体" w:eastAsia="宋体" w:cs="宋体"/>
                <w:color w:val="000000"/>
                <w:sz w:val="18"/>
                <w:szCs w:val="18"/>
                <w:highlight w:val="none"/>
                <w:lang w:eastAsia="zh-CN"/>
              </w:rPr>
            </w:r>
            <w:r/>
          </w:p>
          <w:p>
            <w:pPr>
              <w:pStyle w:val="1083"/>
              <w:ind w:left="0"/>
              <w:jc w:val="center"/>
              <w:spacing w:after="16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花器、</w:t>
            </w:r>
            <w:r>
              <w:rPr>
                <w:rFonts w:ascii="宋体" w:hAnsi="宋体" w:eastAsia="宋体" w:cs="宋体"/>
                <w:color w:val="000000"/>
                <w:sz w:val="18"/>
                <w:szCs w:val="18"/>
                <w:highlight w:val="none"/>
                <w:lang w:eastAsia="zh-CN"/>
              </w:rPr>
            </w:r>
            <w:r/>
          </w:p>
          <w:p>
            <w:pPr>
              <w:pStyle w:val="1083"/>
              <w:ind w:left="0"/>
              <w:jc w:val="center"/>
              <w:spacing w:after="16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嫩梢。</w:t>
            </w:r>
            <w:r>
              <w:rPr>
                <w:rFonts w:ascii="宋体" w:hAnsi="宋体" w:eastAsia="宋体" w:cs="宋体"/>
                <w:color w:val="000000"/>
                <w:sz w:val="18"/>
                <w:szCs w:val="18"/>
                <w:highlight w:val="none"/>
                <w:lang w:eastAsia="zh-CN"/>
              </w:rPr>
            </w:r>
            <w:r/>
          </w:p>
        </w:tc>
        <w:tc>
          <w:tcPr>
            <w:shd w:val="clear" w:color="auto" w:fill="ffffff"/>
            <w:tcW w:w="1486" w:type="dxa"/>
            <w:vAlign w:val="center"/>
            <w:textDirection w:val="lrTb"/>
            <w:noWrap w:val="false"/>
          </w:tcPr>
          <w:p>
            <w:pPr>
              <w:pStyle w:val="1083"/>
              <w:ind w:left="142" w:firstLine="23"/>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中湿、高湿环境易发生病害。</w:t>
            </w:r>
            <w:r>
              <w:rPr>
                <w:rFonts w:ascii="宋体" w:hAnsi="宋体" w:eastAsia="宋体" w:cs="宋体"/>
                <w:color w:val="000000"/>
                <w:sz w:val="18"/>
                <w:szCs w:val="18"/>
                <w:highlight w:val="none"/>
                <w:lang w:eastAsia="zh-CN"/>
              </w:rPr>
            </w:r>
            <w:r/>
          </w:p>
          <w:p>
            <w:pPr>
              <w:pStyle w:val="1083"/>
              <w:ind w:left="142" w:firstLine="23"/>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3月〜11月</w:t>
            </w:r>
            <w:r>
              <w:rPr>
                <w:rFonts w:ascii="宋体" w:hAnsi="宋体" w:eastAsia="宋体" w:cs="宋体"/>
                <w:color w:val="000000"/>
                <w:sz w:val="18"/>
                <w:szCs w:val="18"/>
                <w:highlight w:val="none"/>
                <w:lang w:eastAsia="zh-CN"/>
              </w:rPr>
            </w:r>
            <w:r/>
          </w:p>
        </w:tc>
        <w:tc>
          <w:tcPr>
            <w:shd w:val="clear" w:color="auto" w:fill="ffffff"/>
            <w:tcW w:w="4633" w:type="dxa"/>
            <w:vAlign w:val="center"/>
            <w:textDirection w:val="lrTb"/>
            <w:noWrap w:val="false"/>
          </w:tcPr>
          <w:p>
            <w:pPr>
              <w:pStyle w:val="1083"/>
              <w:ind w:left="142" w:firstLine="23"/>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展叶前使用29%石硫合剂水剂</w:t>
            </w:r>
            <w:r>
              <w:rPr>
                <w:rFonts w:hint="eastAsia" w:ascii="宋体" w:hAnsi="宋体" w:eastAsia="宋体" w:cs="宋体"/>
                <w:color w:val="000000"/>
                <w:sz w:val="18"/>
                <w:szCs w:val="18"/>
                <w:highlight w:val="none"/>
                <w:lang w:val="en-US" w:eastAsia="zh-CN" w:bidi="en-US"/>
              </w:rPr>
              <w:t xml:space="preserve">50-70倍</w:t>
            </w:r>
            <w:r>
              <w:rPr>
                <w:rFonts w:hint="eastAsia" w:ascii="宋体" w:hAnsi="宋体" w:eastAsia="宋体" w:cs="宋体"/>
                <w:color w:val="000000"/>
                <w:sz w:val="18"/>
                <w:szCs w:val="18"/>
                <w:highlight w:val="none"/>
                <w:lang w:eastAsia="zh-CN"/>
              </w:rPr>
              <w:t xml:space="preserve">液杀灭越冬菌源；结合修剪剪除病枝叶；发病期使用20%三唑酮乳油1000〜1500倍液,12%腈菌唑微乳剂2500〜3000倍液，25%丙环唑微乳液3000〜4000倍液，7〜10天喷1次，根据情况轮换用药喷施2〜3次。</w:t>
            </w:r>
            <w:r>
              <w:rPr>
                <w:rFonts w:ascii="宋体" w:hAnsi="宋体" w:eastAsia="宋体" w:cs="宋体"/>
                <w:color w:val="000000"/>
                <w:sz w:val="18"/>
                <w:szCs w:val="18"/>
                <w:highlight w:val="none"/>
                <w:lang w:eastAsia="zh-CN"/>
              </w:rPr>
            </w:r>
            <w:r/>
          </w:p>
        </w:tc>
      </w:tr>
      <w:tr>
        <w:trPr>
          <w:trHeight w:val="1813" w:hRule="exact"/>
        </w:trPr>
        <w:tc>
          <w:tcPr>
            <w:shd w:val="clear" w:color="auto" w:fill="ffffff"/>
            <w:tcW w:w="925" w:type="dxa"/>
            <w:vAlign w:val="center"/>
            <w:textDirection w:val="lrTb"/>
            <w:noWrap w:val="false"/>
          </w:tcPr>
          <w:p>
            <w:pPr>
              <w:pStyle w:val="825"/>
              <w:ind w:firstLine="180"/>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黑斑病</w:t>
            </w:r>
            <w:r>
              <w:rPr>
                <w:rFonts w:ascii="宋体" w:hAnsi="宋体" w:cs="宋体"/>
                <w:color w:val="000000"/>
                <w:sz w:val="18"/>
                <w:szCs w:val="18"/>
                <w:highlight w:val="none"/>
              </w:rPr>
            </w:r>
            <w:r/>
          </w:p>
        </w:tc>
        <w:tc>
          <w:tcPr>
            <w:shd w:val="clear" w:color="auto" w:fill="ffffff"/>
            <w:tcW w:w="1920" w:type="dxa"/>
            <w:vAlign w:val="center"/>
            <w:textDirection w:val="lrTb"/>
            <w:noWrap w:val="false"/>
          </w:tcPr>
          <w:p>
            <w:pPr>
              <w:pStyle w:val="1083"/>
              <w:ind w:left="0"/>
              <w:jc w:val="center"/>
              <w:spacing w:after="12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蔷薇双壳菌</w:t>
            </w:r>
            <w:r>
              <w:rPr>
                <w:rFonts w:hint="eastAsia" w:ascii="宋体" w:hAnsi="宋体" w:eastAsia="宋体" w:cs="宋体"/>
                <w:i/>
                <w:iCs/>
                <w:color w:val="000000"/>
                <w:sz w:val="18"/>
                <w:szCs w:val="18"/>
                <w:highlight w:val="none"/>
                <w:lang w:val="en-US" w:eastAsia="en-US" w:bidi="en-US"/>
              </w:rPr>
              <w:t xml:space="preserve">Diplocarpon rosae</w:t>
            </w:r>
            <w:r>
              <w:rPr>
                <w:rFonts w:ascii="宋体" w:hAnsi="宋体" w:eastAsia="宋体" w:cs="宋体"/>
                <w:color w:val="000000"/>
                <w:sz w:val="18"/>
                <w:szCs w:val="18"/>
                <w:highlight w:val="none"/>
                <w:lang w:eastAsia="zh-CN"/>
              </w:rPr>
            </w:r>
            <w:r/>
          </w:p>
        </w:tc>
        <w:tc>
          <w:tcPr>
            <w:shd w:val="clear" w:color="auto" w:fill="ffffff"/>
            <w:tcW w:w="851" w:type="dxa"/>
            <w:vAlign w:val="center"/>
            <w:textDirection w:val="lrTb"/>
            <w:noWrap w:val="false"/>
          </w:tcPr>
          <w:p>
            <w:pPr>
              <w:pStyle w:val="1083"/>
              <w:ind w:left="0"/>
              <w:jc w:val="center"/>
              <w:spacing w:after="16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叶片、</w:t>
            </w:r>
            <w:r>
              <w:rPr>
                <w:rFonts w:ascii="宋体" w:hAnsi="宋体" w:eastAsia="宋体" w:cs="宋体"/>
                <w:color w:val="000000"/>
                <w:sz w:val="18"/>
                <w:szCs w:val="18"/>
                <w:highlight w:val="none"/>
                <w:lang w:eastAsia="zh-CN"/>
              </w:rPr>
            </w:r>
            <w:r/>
          </w:p>
          <w:p>
            <w:pPr>
              <w:pStyle w:val="1083"/>
              <w:ind w:left="0"/>
              <w:jc w:val="center"/>
              <w:spacing w:after="16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叶柄、</w:t>
            </w:r>
            <w:r>
              <w:rPr>
                <w:rFonts w:ascii="宋体" w:hAnsi="宋体" w:eastAsia="宋体" w:cs="宋体"/>
                <w:color w:val="000000"/>
                <w:sz w:val="18"/>
                <w:szCs w:val="18"/>
                <w:highlight w:val="none"/>
                <w:lang w:eastAsia="zh-CN"/>
              </w:rPr>
            </w:r>
            <w:r/>
          </w:p>
          <w:p>
            <w:pPr>
              <w:pStyle w:val="1083"/>
              <w:ind w:left="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嫩梢。</w:t>
            </w:r>
            <w:r>
              <w:rPr>
                <w:rFonts w:ascii="宋体" w:hAnsi="宋体" w:eastAsia="宋体" w:cs="宋体"/>
                <w:color w:val="000000"/>
                <w:sz w:val="18"/>
                <w:szCs w:val="18"/>
                <w:highlight w:val="none"/>
                <w:lang w:eastAsia="zh-CN"/>
              </w:rPr>
            </w:r>
            <w:r/>
          </w:p>
        </w:tc>
        <w:tc>
          <w:tcPr>
            <w:shd w:val="clear" w:color="auto" w:fill="ffffff"/>
            <w:tcW w:w="1486" w:type="dxa"/>
            <w:vAlign w:val="center"/>
            <w:textDirection w:val="lrTb"/>
            <w:noWrap w:val="false"/>
          </w:tcPr>
          <w:p>
            <w:pPr>
              <w:pStyle w:val="1083"/>
              <w:ind w:left="0"/>
              <w:spacing w:after="14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中温、</w:t>
            </w:r>
            <w:r>
              <w:rPr>
                <w:rFonts w:hint="eastAsia" w:ascii="宋体" w:hAnsi="宋体" w:eastAsia="宋体" w:cs="宋体"/>
                <w:iCs/>
                <w:color w:val="000000"/>
                <w:sz w:val="18"/>
                <w:szCs w:val="18"/>
                <w:highlight w:val="none"/>
                <w:lang w:eastAsia="zh-CN"/>
              </w:rPr>
              <w:t xml:space="preserve">高湿病菌易侵入</w:t>
            </w:r>
            <w:r>
              <w:rPr>
                <w:rFonts w:ascii="宋体" w:hAnsi="宋体" w:eastAsia="宋体" w:cs="宋体"/>
                <w:color w:val="000000"/>
                <w:sz w:val="18"/>
                <w:szCs w:val="18"/>
                <w:highlight w:val="none"/>
                <w:lang w:eastAsia="zh-CN"/>
              </w:rPr>
            </w:r>
            <w:r/>
          </w:p>
          <w:p>
            <w:pPr>
              <w:pStyle w:val="1083"/>
              <w:ind w:left="0"/>
              <w:spacing w:after="14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4月〜9月</w:t>
            </w:r>
            <w:r>
              <w:rPr>
                <w:rFonts w:ascii="宋体" w:hAnsi="宋体" w:eastAsia="宋体" w:cs="宋体"/>
                <w:color w:val="000000"/>
                <w:sz w:val="18"/>
                <w:szCs w:val="18"/>
                <w:highlight w:val="none"/>
                <w:lang w:eastAsia="zh-CN"/>
              </w:rPr>
            </w:r>
            <w:r/>
          </w:p>
        </w:tc>
        <w:tc>
          <w:tcPr>
            <w:shd w:val="clear" w:color="auto" w:fill="ffffff"/>
            <w:tcW w:w="4633" w:type="dxa"/>
            <w:vAlign w:val="top"/>
            <w:textDirection w:val="lrTb"/>
            <w:noWrap w:val="false"/>
          </w:tcPr>
          <w:p>
            <w:pPr>
              <w:pStyle w:val="1083"/>
              <w:ind w:firstLine="20"/>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冬季消除病残体，用1%碱式硫酸铜液杀灭越冬菌源，展叶前使用29%石硫合剂水剂</w:t>
            </w:r>
            <w:r>
              <w:rPr>
                <w:rFonts w:hint="eastAsia" w:ascii="宋体" w:hAnsi="宋体" w:eastAsia="宋体" w:cs="宋体"/>
                <w:color w:val="000000"/>
                <w:sz w:val="18"/>
                <w:szCs w:val="18"/>
                <w:highlight w:val="none"/>
                <w:lang w:val="en-US" w:eastAsia="zh-CN" w:bidi="en-US"/>
              </w:rPr>
              <w:t xml:space="preserve">50-70倍</w:t>
            </w:r>
            <w:r>
              <w:rPr>
                <w:rFonts w:hint="eastAsia" w:ascii="宋体" w:hAnsi="宋体" w:eastAsia="宋体" w:cs="宋体"/>
                <w:color w:val="000000"/>
                <w:sz w:val="18"/>
                <w:szCs w:val="18"/>
                <w:highlight w:val="none"/>
                <w:lang w:eastAsia="zh-CN"/>
              </w:rPr>
              <w:t xml:space="preserve">液；发病期使用50%多菌灵可湿性粉剂</w:t>
            </w:r>
            <w:r>
              <w:rPr>
                <w:rFonts w:hint="eastAsia" w:ascii="宋体" w:hAnsi="宋体" w:eastAsia="宋体" w:cs="宋体"/>
                <w:color w:val="000000"/>
                <w:sz w:val="18"/>
                <w:szCs w:val="18"/>
                <w:highlight w:val="none"/>
                <w:lang w:val="en-US" w:eastAsia="zh-CN" w:bidi="en-US"/>
              </w:rPr>
              <w:t xml:space="preserve">600</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800</w:t>
            </w:r>
            <w:r>
              <w:rPr>
                <w:rFonts w:hint="eastAsia" w:ascii="宋体" w:hAnsi="宋体" w:eastAsia="宋体" w:cs="宋体"/>
                <w:color w:val="000000"/>
                <w:sz w:val="18"/>
                <w:szCs w:val="18"/>
                <w:highlight w:val="none"/>
                <w:lang w:eastAsia="zh-CN"/>
              </w:rPr>
              <w:t xml:space="preserve">倍液，25%丙环唑微乳剂3000倍液，4%四氟醚唑水乳剂1000〜1500倍液，7〜10</w:t>
            </w:r>
            <w:r>
              <w:rPr>
                <w:rFonts w:hint="eastAsia" w:ascii="宋体" w:hAnsi="宋体" w:eastAsia="宋体" w:cs="宋体"/>
                <w:iCs/>
                <w:color w:val="000000"/>
                <w:sz w:val="18"/>
                <w:szCs w:val="18"/>
                <w:highlight w:val="none"/>
                <w:lang w:eastAsia="zh-CN"/>
              </w:rPr>
              <w:t xml:space="preserve">天喷</w:t>
            </w:r>
            <w:r>
              <w:rPr>
                <w:rFonts w:hint="eastAsia" w:ascii="宋体" w:hAnsi="宋体" w:eastAsia="宋体" w:cs="宋体"/>
                <w:color w:val="000000"/>
                <w:sz w:val="18"/>
                <w:szCs w:val="18"/>
                <w:highlight w:val="none"/>
                <w:lang w:eastAsia="zh-CN"/>
              </w:rPr>
              <w:t xml:space="preserve">1次，根据情况轮换用药喷施2〜3次。</w:t>
            </w:r>
            <w:r>
              <w:rPr>
                <w:rFonts w:ascii="宋体" w:hAnsi="宋体" w:eastAsia="宋体" w:cs="宋体"/>
                <w:color w:val="000000"/>
                <w:sz w:val="18"/>
                <w:szCs w:val="18"/>
                <w:highlight w:val="none"/>
                <w:lang w:eastAsia="zh-CN"/>
              </w:rPr>
            </w:r>
            <w:r/>
          </w:p>
        </w:tc>
      </w:tr>
      <w:tr>
        <w:trPr>
          <w:trHeight w:val="2322" w:hRule="exact"/>
        </w:trPr>
        <w:tc>
          <w:tcPr>
            <w:shd w:val="clear" w:color="auto" w:fill="ffffff"/>
            <w:tcW w:w="925" w:type="dxa"/>
            <w:vAlign w:val="center"/>
            <w:textDirection w:val="lrTb"/>
            <w:noWrap w:val="false"/>
          </w:tcPr>
          <w:p>
            <w:pPr>
              <w:pStyle w:val="1083"/>
              <w:ind w:firstLine="9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锈病</w:t>
            </w:r>
            <w:r>
              <w:rPr>
                <w:rFonts w:ascii="宋体" w:hAnsi="宋体" w:eastAsia="宋体" w:cs="宋体"/>
                <w:color w:val="000000"/>
                <w:sz w:val="18"/>
                <w:szCs w:val="18"/>
                <w:highlight w:val="none"/>
                <w:lang w:eastAsia="zh-CN"/>
              </w:rPr>
            </w:r>
            <w:r/>
          </w:p>
        </w:tc>
        <w:tc>
          <w:tcPr>
            <w:shd w:val="clear" w:color="auto" w:fill="ffffff"/>
            <w:tcW w:w="1920" w:type="dxa"/>
            <w:vAlign w:val="bottom"/>
            <w:textDirection w:val="lrTb"/>
            <w:noWrap w:val="false"/>
          </w:tcPr>
          <w:p>
            <w:pPr>
              <w:pStyle w:val="1083"/>
              <w:ind w:left="0"/>
              <w:jc w:val="center"/>
              <w:spacing w:line="200" w:lineRule="exact"/>
              <w:shd w:val="clear" w:color="auto" w:fill="auto"/>
              <w:rPr>
                <w:rFonts w:ascii="宋体" w:hAnsi="宋体" w:eastAsia="宋体" w:cs="宋体"/>
                <w:color w:val="000000"/>
                <w:sz w:val="18"/>
                <w:szCs w:val="18"/>
                <w:highlight w:val="none"/>
                <w:lang w:val="en-US" w:eastAsia="zh-CN" w:bidi="en-US"/>
              </w:rPr>
            </w:pPr>
            <w:r>
              <w:rPr>
                <w:rFonts w:hint="eastAsia" w:ascii="宋体" w:hAnsi="宋体" w:eastAsia="宋体" w:cs="宋体"/>
                <w:color w:val="000000"/>
                <w:sz w:val="18"/>
                <w:szCs w:val="18"/>
                <w:highlight w:val="none"/>
                <w:lang w:val="en-US" w:eastAsia="zh-CN" w:bidi="en-US"/>
              </w:rPr>
              <w:t xml:space="preserve">蔷薇多孢锈菌</w:t>
            </w:r>
            <w:r>
              <w:rPr>
                <w:rFonts w:ascii="宋体" w:hAnsi="宋体" w:eastAsia="宋体" w:cs="宋体"/>
                <w:color w:val="000000"/>
                <w:sz w:val="18"/>
                <w:szCs w:val="18"/>
                <w:highlight w:val="none"/>
                <w:lang w:val="en-US" w:eastAsia="zh-CN" w:bidi="en-US"/>
              </w:rPr>
            </w:r>
            <w:r/>
          </w:p>
          <w:p>
            <w:pPr>
              <w:pStyle w:val="1083"/>
              <w:ind w:left="0"/>
              <w:jc w:val="center"/>
              <w:spacing w:after="156" w:line="200" w:lineRule="exact"/>
              <w:shd w:val="clear" w:color="auto" w:fill="auto"/>
              <w:rPr>
                <w:rFonts w:ascii="宋体" w:hAnsi="宋体" w:eastAsia="宋体" w:cs="宋体"/>
                <w:i/>
                <w:color w:val="000000"/>
                <w:sz w:val="18"/>
                <w:szCs w:val="18"/>
                <w:highlight w:val="none"/>
                <w:lang w:val="en-US" w:eastAsia="zh-CN" w:bidi="en-US"/>
              </w:rPr>
            </w:pPr>
            <w:r>
              <w:rPr>
                <w:rFonts w:hint="eastAsia" w:ascii="宋体" w:hAnsi="宋体" w:eastAsia="宋体" w:cs="宋体"/>
                <w:i/>
                <w:color w:val="000000"/>
                <w:sz w:val="18"/>
                <w:szCs w:val="18"/>
                <w:highlight w:val="none"/>
                <w:lang w:val="en-US" w:eastAsia="zh-CN" w:bidi="en-US"/>
              </w:rPr>
              <w:t xml:space="preserve">Phragmidium rosae</w:t>
            </w:r>
            <w:r>
              <w:rPr>
                <w:rFonts w:ascii="宋体" w:hAnsi="宋体" w:eastAsia="宋体" w:cs="宋体"/>
                <w:i/>
                <w:color w:val="000000"/>
                <w:sz w:val="18"/>
                <w:szCs w:val="18"/>
                <w:highlight w:val="none"/>
                <w:lang w:val="en-US" w:eastAsia="zh-CN" w:bidi="en-US"/>
              </w:rPr>
            </w:r>
            <w:r/>
          </w:p>
          <w:p>
            <w:pPr>
              <w:pStyle w:val="1083"/>
              <w:ind w:left="0"/>
              <w:jc w:val="center"/>
              <w:spacing w:line="20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val="en-US" w:eastAsia="zh-CN" w:bidi="en-US"/>
              </w:rPr>
              <w:t xml:space="preserve">山田多孢锈菌</w:t>
            </w:r>
            <w:r>
              <w:rPr>
                <w:rFonts w:ascii="宋体" w:hAnsi="宋体" w:eastAsia="宋体" w:cs="宋体"/>
                <w:color w:val="000000"/>
                <w:sz w:val="18"/>
                <w:szCs w:val="18"/>
                <w:highlight w:val="none"/>
                <w:lang w:eastAsia="zh-CN"/>
              </w:rPr>
            </w:r>
            <w:r/>
          </w:p>
          <w:p>
            <w:pPr>
              <w:pStyle w:val="1083"/>
              <w:ind w:left="0"/>
              <w:jc w:val="center"/>
              <w:spacing w:after="280" w:line="200" w:lineRule="exact"/>
              <w:shd w:val="clear" w:color="auto" w:fill="auto"/>
              <w:rPr>
                <w:rFonts w:ascii="宋体" w:hAnsi="宋体" w:eastAsia="宋体" w:cs="宋体"/>
                <w:i/>
                <w:iCs/>
                <w:color w:val="000000"/>
                <w:sz w:val="18"/>
                <w:szCs w:val="18"/>
                <w:highlight w:val="none"/>
                <w:lang w:val="en-US" w:eastAsia="zh-CN" w:bidi="en-US"/>
              </w:rPr>
            </w:pPr>
            <w:r>
              <w:rPr>
                <w:rFonts w:hint="eastAsia" w:ascii="宋体" w:hAnsi="宋体" w:eastAsia="宋体" w:cs="宋体"/>
                <w:i/>
                <w:iCs/>
                <w:color w:val="000000"/>
                <w:sz w:val="18"/>
                <w:szCs w:val="18"/>
                <w:highlight w:val="none"/>
                <w:lang w:val="en-US" w:eastAsia="en-US" w:bidi="en-US"/>
              </w:rPr>
              <w:t xml:space="preserve">P</w:t>
            </w:r>
            <w:r>
              <w:rPr>
                <w:rFonts w:hint="eastAsia" w:ascii="宋体" w:hAnsi="宋体" w:eastAsia="宋体" w:cs="宋体"/>
                <w:i/>
                <w:iCs/>
                <w:color w:val="000000"/>
                <w:sz w:val="18"/>
                <w:szCs w:val="18"/>
                <w:highlight w:val="none"/>
                <w:lang w:val="en-US" w:eastAsia="zh-CN" w:bidi="en-US"/>
              </w:rPr>
              <w:t xml:space="preserve">h</w:t>
            </w:r>
            <w:r>
              <w:rPr>
                <w:rFonts w:hint="eastAsia" w:ascii="宋体" w:hAnsi="宋体" w:eastAsia="宋体" w:cs="宋体"/>
                <w:i/>
                <w:iCs/>
                <w:color w:val="000000"/>
                <w:sz w:val="18"/>
                <w:szCs w:val="18"/>
                <w:highlight w:val="none"/>
                <w:lang w:val="en-US" w:eastAsia="en-US" w:bidi="en-US"/>
              </w:rPr>
              <w:t xml:space="preserve">ragmidium yam</w:t>
            </w:r>
            <w:r>
              <w:rPr>
                <w:rFonts w:hint="eastAsia" w:ascii="宋体" w:hAnsi="宋体" w:eastAsia="宋体" w:cs="宋体"/>
                <w:i/>
                <w:iCs/>
                <w:color w:val="000000"/>
                <w:sz w:val="18"/>
                <w:szCs w:val="18"/>
                <w:highlight w:val="none"/>
                <w:lang w:val="en-US" w:eastAsia="zh-CN" w:bidi="en-US"/>
              </w:rPr>
              <w:t xml:space="preserve">a</w:t>
            </w:r>
            <w:r>
              <w:rPr>
                <w:rFonts w:hint="eastAsia" w:ascii="宋体" w:hAnsi="宋体" w:eastAsia="宋体" w:cs="宋体"/>
                <w:i/>
                <w:iCs/>
                <w:color w:val="000000"/>
                <w:sz w:val="18"/>
                <w:szCs w:val="18"/>
                <w:highlight w:val="none"/>
                <w:lang w:val="en-US" w:eastAsia="en-US" w:bidi="en-US"/>
              </w:rPr>
              <w:t xml:space="preserve">danu</w:t>
            </w:r>
            <w:r>
              <w:rPr>
                <w:rFonts w:hint="eastAsia" w:ascii="宋体" w:hAnsi="宋体" w:eastAsia="宋体" w:cs="宋体"/>
                <w:i/>
                <w:iCs/>
                <w:color w:val="000000"/>
                <w:sz w:val="18"/>
                <w:szCs w:val="18"/>
                <w:highlight w:val="none"/>
                <w:lang w:val="en-US" w:eastAsia="zh-CN" w:bidi="en-US"/>
              </w:rPr>
              <w:t xml:space="preserve">m</w:t>
            </w:r>
            <w:r>
              <w:rPr>
                <w:rFonts w:ascii="宋体" w:hAnsi="宋体" w:eastAsia="宋体" w:cs="宋体"/>
                <w:i/>
                <w:iCs/>
                <w:color w:val="000000"/>
                <w:sz w:val="18"/>
                <w:szCs w:val="18"/>
                <w:highlight w:val="none"/>
                <w:lang w:val="en-US" w:eastAsia="zh-CN" w:bidi="en-US"/>
              </w:rPr>
            </w:r>
            <w:r/>
          </w:p>
          <w:p>
            <w:pPr>
              <w:pStyle w:val="1083"/>
              <w:ind w:left="0"/>
              <w:jc w:val="center"/>
              <w:spacing w:after="280" w:line="20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玫瑰多孢锈菌</w:t>
            </w:r>
            <w:r>
              <w:rPr>
                <w:rFonts w:hint="eastAsia" w:ascii="宋体" w:hAnsi="宋体" w:eastAsia="宋体" w:cs="宋体"/>
                <w:i/>
                <w:iCs/>
                <w:color w:val="000000"/>
                <w:sz w:val="18"/>
                <w:szCs w:val="18"/>
                <w:highlight w:val="none"/>
                <w:lang w:val="en-US" w:eastAsia="en-US" w:bidi="en-US"/>
              </w:rPr>
              <w:t xml:space="preserve">Phr</w:t>
            </w:r>
            <w:r>
              <w:rPr>
                <w:rFonts w:hint="eastAsia" w:ascii="宋体" w:hAnsi="宋体" w:eastAsia="宋体" w:cs="宋体"/>
                <w:i/>
                <w:iCs/>
                <w:color w:val="000000"/>
                <w:sz w:val="18"/>
                <w:szCs w:val="18"/>
                <w:highlight w:val="none"/>
                <w:lang w:val="en-US" w:eastAsia="zh-CN" w:bidi="en-US"/>
              </w:rPr>
              <w:t xml:space="preserve">a</w:t>
            </w:r>
            <w:r>
              <w:rPr>
                <w:rFonts w:hint="eastAsia" w:ascii="宋体" w:hAnsi="宋体" w:eastAsia="宋体" w:cs="宋体"/>
                <w:i/>
                <w:iCs/>
                <w:color w:val="000000"/>
                <w:sz w:val="18"/>
                <w:szCs w:val="18"/>
                <w:highlight w:val="none"/>
                <w:lang w:val="en-US" w:eastAsia="en-US" w:bidi="en-US"/>
              </w:rPr>
              <w:t xml:space="preserve">gmidium ros</w:t>
            </w:r>
            <w:r>
              <w:rPr>
                <w:rFonts w:hint="eastAsia" w:ascii="宋体" w:hAnsi="宋体" w:eastAsia="宋体" w:cs="宋体"/>
                <w:i/>
                <w:iCs/>
                <w:color w:val="000000"/>
                <w:sz w:val="18"/>
                <w:szCs w:val="18"/>
                <w:highlight w:val="none"/>
                <w:lang w:val="en-US" w:eastAsia="zh-CN" w:bidi="en-US"/>
              </w:rPr>
              <w:t xml:space="preserve">a</w:t>
            </w:r>
            <w:r>
              <w:rPr>
                <w:rFonts w:hint="eastAsia" w:ascii="宋体" w:hAnsi="宋体" w:eastAsia="宋体" w:cs="宋体"/>
                <w:i/>
                <w:iCs/>
                <w:color w:val="000000"/>
                <w:sz w:val="18"/>
                <w:szCs w:val="18"/>
                <w:highlight w:val="none"/>
                <w:lang w:val="en-US" w:eastAsia="en-US" w:bidi="en-US"/>
              </w:rPr>
              <w:t xml:space="preserve">eruogos</w:t>
            </w:r>
            <w:r>
              <w:rPr>
                <w:rFonts w:hint="eastAsia" w:ascii="宋体" w:hAnsi="宋体" w:eastAsia="宋体" w:cs="宋体"/>
                <w:i/>
                <w:iCs/>
                <w:color w:val="000000"/>
                <w:sz w:val="18"/>
                <w:szCs w:val="18"/>
                <w:highlight w:val="none"/>
                <w:lang w:val="en-US" w:eastAsia="zh-CN" w:bidi="en-US"/>
              </w:rPr>
              <w:t xml:space="preserve">a</w:t>
            </w:r>
            <w:r>
              <w:rPr>
                <w:rFonts w:hint="eastAsia" w:ascii="宋体" w:hAnsi="宋体" w:eastAsia="宋体" w:cs="宋体"/>
                <w:i/>
                <w:iCs/>
                <w:color w:val="000000"/>
                <w:sz w:val="18"/>
                <w:szCs w:val="18"/>
                <w:highlight w:val="none"/>
                <w:lang w:val="en-US" w:eastAsia="en-US" w:bidi="en-US"/>
              </w:rPr>
              <w:t xml:space="preserve">e</w:t>
            </w:r>
            <w:r>
              <w:rPr>
                <w:rFonts w:ascii="宋体" w:hAnsi="宋体" w:eastAsia="宋体" w:cs="宋体"/>
                <w:color w:val="000000"/>
                <w:sz w:val="18"/>
                <w:szCs w:val="18"/>
                <w:highlight w:val="none"/>
                <w:lang w:eastAsia="zh-CN"/>
              </w:rPr>
            </w:r>
            <w:r/>
          </w:p>
        </w:tc>
        <w:tc>
          <w:tcPr>
            <w:shd w:val="clear" w:color="auto" w:fill="ffffff"/>
            <w:tcW w:w="851" w:type="dxa"/>
            <w:vAlign w:val="center"/>
            <w:textDirection w:val="lrTb"/>
            <w:noWrap w:val="false"/>
          </w:tcPr>
          <w:p>
            <w:pPr>
              <w:pStyle w:val="1083"/>
              <w:ind w:left="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叶片、</w:t>
            </w:r>
            <w:r>
              <w:rPr>
                <w:rFonts w:ascii="宋体" w:hAnsi="宋体" w:eastAsia="宋体" w:cs="宋体"/>
                <w:color w:val="000000"/>
                <w:sz w:val="18"/>
                <w:szCs w:val="18"/>
                <w:highlight w:val="none"/>
                <w:lang w:eastAsia="zh-CN"/>
              </w:rPr>
            </w:r>
            <w:r/>
          </w:p>
          <w:p>
            <w:pPr>
              <w:pStyle w:val="1083"/>
              <w:ind w:left="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花器、</w:t>
            </w:r>
            <w:r>
              <w:rPr>
                <w:rFonts w:ascii="宋体" w:hAnsi="宋体" w:eastAsia="宋体" w:cs="宋体"/>
                <w:color w:val="000000"/>
                <w:sz w:val="18"/>
                <w:szCs w:val="18"/>
                <w:highlight w:val="none"/>
                <w:lang w:eastAsia="zh-CN"/>
              </w:rPr>
            </w:r>
            <w:r/>
          </w:p>
          <w:p>
            <w:pPr>
              <w:pStyle w:val="1083"/>
              <w:ind w:left="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嫩梢。</w:t>
            </w:r>
            <w:r>
              <w:rPr>
                <w:rFonts w:ascii="宋体" w:hAnsi="宋体" w:eastAsia="宋体" w:cs="宋体"/>
                <w:color w:val="000000"/>
                <w:sz w:val="18"/>
                <w:szCs w:val="18"/>
                <w:highlight w:val="none"/>
                <w:lang w:eastAsia="zh-CN"/>
              </w:rPr>
            </w:r>
            <w:r/>
          </w:p>
        </w:tc>
        <w:tc>
          <w:tcPr>
            <w:shd w:val="clear" w:color="auto" w:fill="ffffff"/>
            <w:tcW w:w="1486" w:type="dxa"/>
            <w:vAlign w:val="center"/>
            <w:textDirection w:val="lrTb"/>
            <w:noWrap w:val="false"/>
          </w:tcPr>
          <w:p>
            <w:pPr>
              <w:pStyle w:val="1083"/>
              <w:ind w:left="0"/>
              <w:spacing w:after="140" w:line="240" w:lineRule="auto"/>
              <w:shd w:val="clear" w:color="auto" w:fill="auto"/>
              <w:rPr>
                <w:rFonts w:ascii="宋体" w:hAnsi="宋体" w:eastAsia="宋体" w:cs="宋体"/>
                <w:iCs/>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中温、</w:t>
            </w:r>
            <w:r>
              <w:rPr>
                <w:rFonts w:hint="eastAsia" w:ascii="宋体" w:hAnsi="宋体" w:eastAsia="宋体" w:cs="宋体"/>
                <w:iCs/>
                <w:color w:val="000000"/>
                <w:sz w:val="18"/>
                <w:szCs w:val="18"/>
                <w:highlight w:val="none"/>
                <w:lang w:eastAsia="zh-CN"/>
              </w:rPr>
              <w:t xml:space="preserve">高湿时易发生。高温时病害轻。</w:t>
            </w:r>
            <w:r>
              <w:rPr>
                <w:rFonts w:ascii="宋体" w:hAnsi="宋体" w:eastAsia="宋体" w:cs="宋体"/>
                <w:iCs/>
                <w:color w:val="000000"/>
                <w:sz w:val="18"/>
                <w:szCs w:val="18"/>
                <w:highlight w:val="none"/>
                <w:lang w:eastAsia="zh-CN"/>
              </w:rPr>
            </w:r>
            <w:r/>
          </w:p>
          <w:p>
            <w:pPr>
              <w:pStyle w:val="1083"/>
              <w:ind w:left="0"/>
              <w:spacing w:after="14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4月〜10月</w:t>
            </w:r>
            <w:r>
              <w:rPr>
                <w:rFonts w:ascii="宋体" w:hAnsi="宋体" w:eastAsia="宋体" w:cs="宋体"/>
                <w:color w:val="000000"/>
                <w:sz w:val="18"/>
                <w:szCs w:val="18"/>
                <w:highlight w:val="none"/>
                <w:lang w:eastAsia="zh-CN"/>
              </w:rPr>
            </w:r>
            <w:r/>
          </w:p>
        </w:tc>
        <w:tc>
          <w:tcPr>
            <w:shd w:val="clear" w:color="auto" w:fill="ffffff"/>
            <w:tcW w:w="4633" w:type="dxa"/>
            <w:vAlign w:val="center"/>
            <w:textDirection w:val="lrTb"/>
            <w:noWrap w:val="false"/>
          </w:tcPr>
          <w:p>
            <w:pPr>
              <w:pStyle w:val="1083"/>
              <w:ind w:firstLine="20"/>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发病初期使用20% </w:t>
            </w:r>
            <w:r>
              <w:rPr>
                <w:rFonts w:hint="eastAsia" w:ascii="宋体" w:hAnsi="宋体" w:eastAsia="宋体" w:cs="宋体"/>
                <w:color w:val="000000"/>
                <w:sz w:val="18"/>
                <w:szCs w:val="18"/>
                <w:highlight w:val="none"/>
                <w:lang w:val="en-US" w:eastAsia="zh-CN" w:bidi="en-US"/>
              </w:rPr>
              <w:t xml:space="preserve">三唑酮乳油1000-1500</w:t>
            </w:r>
            <w:r>
              <w:rPr>
                <w:rFonts w:hint="eastAsia" w:ascii="宋体" w:hAnsi="宋体" w:eastAsia="宋体" w:cs="宋体"/>
                <w:color w:val="000000"/>
                <w:sz w:val="18"/>
                <w:szCs w:val="18"/>
                <w:highlight w:val="none"/>
                <w:lang w:eastAsia="zh-CN"/>
              </w:rPr>
              <w:t xml:space="preserve">倍，12%腈菌唑</w:t>
            </w:r>
            <w:r>
              <w:rPr>
                <w:rFonts w:hint="eastAsia" w:ascii="宋体" w:hAnsi="宋体" w:eastAsia="宋体" w:cs="宋体"/>
                <w:color w:val="000000"/>
                <w:sz w:val="18"/>
                <w:szCs w:val="18"/>
                <w:highlight w:val="none"/>
                <w:lang w:val="en-US" w:eastAsia="zh-CN" w:bidi="en-US"/>
              </w:rPr>
              <w:t xml:space="preserve">微乳剂2500〜3000倍液，25%丙环唑微乳剂3000〜4000</w:t>
            </w:r>
            <w:r>
              <w:rPr>
                <w:rFonts w:hint="eastAsia" w:ascii="宋体" w:hAnsi="宋体" w:eastAsia="宋体" w:cs="宋体"/>
                <w:color w:val="000000"/>
                <w:sz w:val="18"/>
                <w:szCs w:val="18"/>
                <w:highlight w:val="none"/>
                <w:lang w:eastAsia="zh-CN"/>
              </w:rPr>
              <w:t xml:space="preserve">倍液，7〜10 </w:t>
            </w:r>
            <w:r>
              <w:rPr>
                <w:rFonts w:hint="eastAsia" w:ascii="宋体" w:hAnsi="宋体" w:eastAsia="宋体" w:cs="宋体"/>
                <w:color w:val="000000"/>
                <w:sz w:val="18"/>
                <w:szCs w:val="18"/>
                <w:highlight w:val="none"/>
                <w:lang w:val="en-US" w:eastAsia="zh-CN" w:bidi="en-US"/>
              </w:rPr>
              <w:t xml:space="preserve">天</w:t>
            </w:r>
            <w:r>
              <w:rPr>
                <w:rFonts w:hint="eastAsia" w:ascii="宋体" w:hAnsi="宋体" w:eastAsia="宋体" w:cs="宋体"/>
                <w:color w:val="000000"/>
                <w:sz w:val="18"/>
                <w:szCs w:val="18"/>
                <w:highlight w:val="none"/>
                <w:lang w:eastAsia="zh-CN"/>
              </w:rPr>
              <w:t xml:space="preserve">喷1</w:t>
            </w:r>
            <w:r>
              <w:rPr>
                <w:rFonts w:hint="eastAsia" w:ascii="宋体" w:hAnsi="宋体" w:eastAsia="宋体" w:cs="宋体"/>
                <w:i/>
                <w:iCs/>
                <w:color w:val="000000"/>
                <w:sz w:val="18"/>
                <w:szCs w:val="18"/>
                <w:highlight w:val="none"/>
                <w:lang w:eastAsia="zh-CN"/>
              </w:rPr>
              <w:t xml:space="preserve">次，</w:t>
            </w:r>
            <w:r>
              <w:rPr>
                <w:rFonts w:hint="eastAsia" w:ascii="宋体" w:hAnsi="宋体" w:eastAsia="宋体" w:cs="宋体"/>
                <w:color w:val="000000"/>
                <w:sz w:val="18"/>
                <w:szCs w:val="18"/>
                <w:highlight w:val="none"/>
                <w:lang w:eastAsia="zh-CN"/>
              </w:rPr>
              <w:t xml:space="preserve">根据情况轮换用药喷施2〜3次。</w:t>
            </w:r>
            <w:r>
              <w:rPr>
                <w:rFonts w:ascii="宋体" w:hAnsi="宋体" w:eastAsia="宋体" w:cs="宋体"/>
                <w:color w:val="000000"/>
                <w:sz w:val="18"/>
                <w:szCs w:val="18"/>
                <w:highlight w:val="none"/>
                <w:lang w:eastAsia="zh-CN"/>
              </w:rPr>
            </w:r>
            <w:r/>
          </w:p>
        </w:tc>
      </w:tr>
      <w:tr>
        <w:trPr>
          <w:trHeight w:val="1506" w:hRule="exact"/>
        </w:trPr>
        <w:tc>
          <w:tcPr>
            <w:shd w:val="clear" w:color="auto" w:fill="ffffff"/>
            <w:tcW w:w="925"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枝枯病</w:t>
            </w:r>
            <w:r>
              <w:rPr>
                <w:rFonts w:ascii="宋体" w:hAnsi="宋体" w:eastAsia="宋体" w:cs="宋体"/>
                <w:color w:val="000000"/>
                <w:sz w:val="18"/>
                <w:szCs w:val="18"/>
                <w:highlight w:val="none"/>
                <w:lang w:eastAsia="zh-CN"/>
              </w:rPr>
            </w:r>
            <w:r/>
          </w:p>
        </w:tc>
        <w:tc>
          <w:tcPr>
            <w:shd w:val="clear" w:color="auto" w:fill="ffffff"/>
            <w:tcW w:w="1920" w:type="dxa"/>
            <w:vAlign w:val="center"/>
            <w:textDirection w:val="lrTb"/>
            <w:noWrap w:val="false"/>
          </w:tcPr>
          <w:p>
            <w:pPr>
              <w:pStyle w:val="1083"/>
              <w:ind w:left="0"/>
              <w:jc w:val="center"/>
              <w:spacing w:after="14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盾壳菌小球腔菌</w:t>
            </w:r>
            <w:r>
              <w:rPr>
                <w:rFonts w:ascii="宋体" w:hAnsi="宋体" w:eastAsia="宋体" w:cs="宋体"/>
                <w:color w:val="000000"/>
                <w:sz w:val="18"/>
                <w:szCs w:val="18"/>
                <w:highlight w:val="none"/>
                <w:lang w:eastAsia="zh-CN"/>
              </w:rPr>
            </w:r>
            <w:r/>
          </w:p>
          <w:p>
            <w:pPr>
              <w:pStyle w:val="1083"/>
              <w:ind w:left="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en-US" w:bidi="en-US"/>
              </w:rPr>
              <w:t xml:space="preserve">Leptosphaeria coniothyrium</w:t>
            </w:r>
            <w:r>
              <w:rPr>
                <w:rFonts w:ascii="宋体" w:hAnsi="宋体" w:eastAsia="宋体" w:cs="宋体"/>
                <w:color w:val="000000"/>
                <w:sz w:val="18"/>
                <w:szCs w:val="18"/>
                <w:highlight w:val="none"/>
                <w:lang w:eastAsia="zh-CN"/>
              </w:rPr>
            </w:r>
            <w:r/>
          </w:p>
        </w:tc>
        <w:tc>
          <w:tcPr>
            <w:shd w:val="clear" w:color="auto" w:fill="ffffff"/>
            <w:tcW w:w="851" w:type="dxa"/>
            <w:vAlign w:val="center"/>
            <w:textDirection w:val="lrTb"/>
            <w:noWrap w:val="false"/>
          </w:tcPr>
          <w:p>
            <w:pPr>
              <w:pStyle w:val="1083"/>
              <w:ind w:left="16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枝条</w:t>
            </w:r>
            <w:r>
              <w:rPr>
                <w:rFonts w:ascii="宋体" w:hAnsi="宋体" w:eastAsia="宋体" w:cs="宋体"/>
                <w:color w:val="000000"/>
                <w:sz w:val="18"/>
                <w:szCs w:val="18"/>
                <w:highlight w:val="none"/>
                <w:lang w:eastAsia="zh-CN"/>
              </w:rPr>
            </w:r>
            <w:r/>
          </w:p>
        </w:tc>
        <w:tc>
          <w:tcPr>
            <w:shd w:val="clear" w:color="auto" w:fill="ffffff"/>
            <w:tcW w:w="1486" w:type="dxa"/>
            <w:vAlign w:val="center"/>
            <w:textDirection w:val="lrTb"/>
            <w:noWrap w:val="false"/>
          </w:tcPr>
          <w:p>
            <w:pPr>
              <w:pStyle w:val="1083"/>
              <w:ind w:left="0"/>
              <w:spacing w:after="140" w:line="240" w:lineRule="auto"/>
              <w:shd w:val="clear" w:color="auto" w:fill="auto"/>
              <w:rPr>
                <w:rFonts w:ascii="宋体" w:hAnsi="宋体" w:eastAsia="宋体" w:cs="宋体"/>
                <w:iCs/>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中温、</w:t>
            </w:r>
            <w:r>
              <w:rPr>
                <w:rFonts w:hint="eastAsia" w:ascii="宋体" w:hAnsi="宋体" w:eastAsia="宋体" w:cs="宋体"/>
                <w:iCs/>
                <w:color w:val="000000"/>
                <w:sz w:val="18"/>
                <w:szCs w:val="18"/>
                <w:highlight w:val="none"/>
                <w:lang w:eastAsia="zh-CN"/>
              </w:rPr>
              <w:t xml:space="preserve">高湿时病菌易侵入。</w:t>
            </w:r>
            <w:r>
              <w:rPr>
                <w:rFonts w:ascii="宋体" w:hAnsi="宋体" w:eastAsia="宋体" w:cs="宋体"/>
                <w:iCs/>
                <w:color w:val="000000"/>
                <w:sz w:val="18"/>
                <w:szCs w:val="18"/>
                <w:highlight w:val="none"/>
                <w:lang w:eastAsia="zh-CN"/>
              </w:rPr>
            </w:r>
            <w:r/>
          </w:p>
          <w:p>
            <w:pPr>
              <w:pStyle w:val="1083"/>
              <w:ind w:left="0"/>
              <w:spacing w:after="14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5 月〜</w:t>
            </w:r>
            <w:r>
              <w:rPr>
                <w:rFonts w:hint="eastAsia" w:ascii="宋体" w:hAnsi="宋体" w:eastAsia="宋体" w:cs="宋体"/>
                <w:color w:val="000000"/>
                <w:sz w:val="18"/>
                <w:szCs w:val="18"/>
                <w:highlight w:val="none"/>
                <w:lang w:val="en-US" w:eastAsia="zh-CN" w:bidi="en-US"/>
              </w:rPr>
              <w:t xml:space="preserve">lO月</w:t>
            </w:r>
            <w:r>
              <w:rPr>
                <w:rFonts w:ascii="宋体" w:hAnsi="宋体" w:eastAsia="宋体" w:cs="宋体"/>
                <w:color w:val="000000"/>
                <w:sz w:val="18"/>
                <w:szCs w:val="18"/>
                <w:highlight w:val="none"/>
                <w:lang w:eastAsia="zh-CN"/>
              </w:rPr>
            </w:r>
            <w:r/>
          </w:p>
        </w:tc>
        <w:tc>
          <w:tcPr>
            <w:shd w:val="clear" w:color="auto" w:fill="ffffff"/>
            <w:tcW w:w="4633" w:type="dxa"/>
            <w:vAlign w:val="top"/>
            <w:textDirection w:val="lrTb"/>
            <w:noWrap w:val="false"/>
          </w:tcPr>
          <w:p>
            <w:pPr>
              <w:pStyle w:val="1083"/>
              <w:ind w:firstLine="20"/>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及吋剪除发病枝条，剪口用波尔多液(1：1：30)保护；发病初期用50%多菌灵可湿性粉剂800保液，30%碱式硫酸铜400倍液，12%松脂酸铜乳油600倍液，</w:t>
            </w:r>
            <w:r>
              <w:rPr>
                <w:rFonts w:hint="eastAsia" w:ascii="宋体" w:hAnsi="宋体" w:eastAsia="宋体" w:cs="宋体"/>
                <w:color w:val="000000"/>
                <w:sz w:val="18"/>
                <w:szCs w:val="18"/>
                <w:highlight w:val="none"/>
                <w:lang w:val="en-US" w:eastAsia="zh-CN" w:bidi="en-US"/>
              </w:rPr>
              <w:t xml:space="preserve">53.</w:t>
            </w:r>
            <w:r>
              <w:rPr>
                <w:rFonts w:hint="eastAsia" w:ascii="宋体" w:hAnsi="宋体" w:eastAsia="宋体" w:cs="宋体"/>
                <w:color w:val="000000"/>
                <w:sz w:val="18"/>
                <w:szCs w:val="18"/>
                <w:highlight w:val="none"/>
                <w:lang w:eastAsia="zh-CN"/>
              </w:rPr>
              <w:t xml:space="preserve">8%氢氧化铜1000</w:t>
            </w:r>
            <w:r>
              <w:rPr>
                <w:rFonts w:hint="eastAsia" w:ascii="宋体" w:hAnsi="宋体" w:eastAsia="宋体" w:cs="宋体"/>
                <w:iCs/>
                <w:color w:val="000000"/>
                <w:sz w:val="18"/>
                <w:szCs w:val="18"/>
                <w:highlight w:val="none"/>
                <w:lang w:eastAsia="zh-CN"/>
              </w:rPr>
              <w:t xml:space="preserve">倍</w:t>
            </w:r>
            <w:r>
              <w:rPr>
                <w:rFonts w:hint="eastAsia" w:ascii="宋体" w:hAnsi="宋体" w:eastAsia="宋体" w:cs="宋体"/>
                <w:color w:val="000000"/>
                <w:sz w:val="18"/>
                <w:szCs w:val="18"/>
                <w:highlight w:val="none"/>
                <w:lang w:eastAsia="zh-CN"/>
              </w:rPr>
              <w:t xml:space="preserve">液，每10〜15天喷1次，根据情况轮换用药喷施2〜3次。</w:t>
            </w:r>
            <w:r>
              <w:rPr>
                <w:rFonts w:ascii="宋体" w:hAnsi="宋体" w:eastAsia="宋体" w:cs="宋体"/>
                <w:color w:val="000000"/>
                <w:sz w:val="18"/>
                <w:szCs w:val="18"/>
                <w:highlight w:val="none"/>
                <w:lang w:eastAsia="zh-CN"/>
              </w:rPr>
            </w:r>
            <w:r/>
          </w:p>
        </w:tc>
      </w:tr>
      <w:tr>
        <w:trPr>
          <w:trHeight w:val="1734" w:hRule="exact"/>
        </w:trPr>
        <w:tc>
          <w:tcPr>
            <w:shd w:val="clear" w:color="auto" w:fill="ffffff"/>
            <w:tcW w:w="925"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灰霉病</w:t>
            </w:r>
            <w:r>
              <w:rPr>
                <w:rFonts w:ascii="宋体" w:hAnsi="宋体" w:eastAsia="宋体" w:cs="宋体"/>
                <w:color w:val="000000"/>
                <w:sz w:val="18"/>
                <w:szCs w:val="18"/>
                <w:highlight w:val="none"/>
                <w:lang w:eastAsia="zh-CN"/>
              </w:rPr>
            </w:r>
            <w:r/>
          </w:p>
        </w:tc>
        <w:tc>
          <w:tcPr>
            <w:shd w:val="clear" w:color="auto" w:fill="ffffff"/>
            <w:tcW w:w="1920" w:type="dxa"/>
            <w:vAlign w:val="center"/>
            <w:textDirection w:val="lrTb"/>
            <w:noWrap w:val="false"/>
          </w:tcPr>
          <w:p>
            <w:pPr>
              <w:pStyle w:val="1083"/>
              <w:ind w:left="0"/>
              <w:jc w:val="center"/>
              <w:spacing w:line="240" w:lineRule="auto"/>
              <w:shd w:val="clear" w:color="auto" w:fill="auto"/>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灰葡萄孢</w:t>
            </w:r>
            <w:r>
              <w:rPr>
                <w:rFonts w:hint="eastAsia" w:ascii="宋体" w:hAnsi="宋体" w:eastAsia="宋体" w:cs="宋体"/>
                <w:i/>
                <w:color w:val="000000"/>
                <w:sz w:val="18"/>
                <w:szCs w:val="18"/>
                <w:highlight w:val="none"/>
                <w:lang w:val="en-US" w:eastAsia="zh-CN"/>
              </w:rPr>
              <w:t xml:space="preserve">Botrytis</w:t>
            </w:r>
            <w:r>
              <w:rPr>
                <w:rFonts w:hint="eastAsia" w:ascii="宋体" w:hAnsi="宋体" w:eastAsia="宋体" w:cs="宋体"/>
                <w:color w:val="000000"/>
                <w:sz w:val="18"/>
                <w:szCs w:val="18"/>
                <w:highlight w:val="none"/>
                <w:lang w:val="en-US" w:eastAsia="zh-CN"/>
              </w:rPr>
              <w:t xml:space="preserve"> </w:t>
            </w:r>
            <w:r>
              <w:rPr>
                <w:rFonts w:hint="eastAsia" w:ascii="宋体" w:hAnsi="宋体" w:eastAsia="宋体" w:cs="宋体"/>
                <w:i/>
                <w:color w:val="000000"/>
                <w:sz w:val="18"/>
                <w:szCs w:val="18"/>
                <w:highlight w:val="none"/>
                <w:lang w:val="en-US" w:eastAsia="zh-CN"/>
              </w:rPr>
              <w:t xml:space="preserve">cinerea</w:t>
            </w:r>
            <w:r>
              <w:rPr>
                <w:rFonts w:ascii="宋体" w:hAnsi="宋体" w:eastAsia="宋体" w:cs="宋体"/>
                <w:color w:val="000000"/>
                <w:sz w:val="18"/>
                <w:szCs w:val="18"/>
                <w:highlight w:val="none"/>
                <w:lang w:val="en-US" w:eastAsia="zh-CN"/>
              </w:rPr>
            </w:r>
            <w:r/>
          </w:p>
        </w:tc>
        <w:tc>
          <w:tcPr>
            <w:shd w:val="clear" w:color="auto" w:fill="ffffff"/>
            <w:tcW w:w="851"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叶、</w:t>
            </w:r>
            <w:r>
              <w:rPr>
                <w:rFonts w:ascii="宋体" w:hAnsi="宋体" w:eastAsia="宋体" w:cs="宋体"/>
                <w:color w:val="000000"/>
                <w:sz w:val="18"/>
                <w:szCs w:val="18"/>
                <w:highlight w:val="none"/>
                <w:lang w:eastAsia="zh-CN"/>
              </w:rPr>
            </w:r>
            <w:r/>
          </w:p>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花器、</w:t>
            </w:r>
            <w:r>
              <w:rPr>
                <w:rFonts w:ascii="宋体" w:hAnsi="宋体" w:eastAsia="宋体" w:cs="宋体"/>
                <w:color w:val="000000"/>
                <w:sz w:val="18"/>
                <w:szCs w:val="18"/>
                <w:highlight w:val="none"/>
                <w:lang w:eastAsia="zh-CN"/>
              </w:rPr>
            </w:r>
            <w:r/>
          </w:p>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嫩茎。</w:t>
            </w:r>
            <w:r>
              <w:rPr>
                <w:rFonts w:ascii="宋体" w:hAnsi="宋体" w:eastAsia="宋体" w:cs="宋体"/>
                <w:color w:val="000000"/>
                <w:sz w:val="18"/>
                <w:szCs w:val="18"/>
                <w:highlight w:val="none"/>
                <w:lang w:eastAsia="zh-CN"/>
              </w:rPr>
            </w:r>
            <w:r/>
          </w:p>
        </w:tc>
        <w:tc>
          <w:tcPr>
            <w:shd w:val="clear" w:color="auto" w:fill="ffffff"/>
            <w:tcW w:w="1486" w:type="dxa"/>
            <w:vAlign w:val="center"/>
            <w:textDirection w:val="lrTb"/>
            <w:noWrap w:val="false"/>
          </w:tcPr>
          <w:p>
            <w:pPr>
              <w:pStyle w:val="1083"/>
              <w:ind w:left="160" w:firstLine="20"/>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中低溫、高湿时易发生病害。</w:t>
            </w:r>
            <w:r>
              <w:rPr>
                <w:rFonts w:ascii="宋体" w:hAnsi="宋体" w:eastAsia="宋体" w:cs="宋体"/>
                <w:color w:val="000000"/>
                <w:sz w:val="18"/>
                <w:szCs w:val="18"/>
                <w:highlight w:val="none"/>
                <w:lang w:eastAsia="zh-CN"/>
              </w:rPr>
            </w:r>
            <w:r/>
          </w:p>
          <w:p>
            <w:pPr>
              <w:pStyle w:val="1083"/>
              <w:ind w:left="160" w:firstLine="20"/>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4 月〜6 月</w:t>
            </w:r>
            <w:r>
              <w:rPr>
                <w:rFonts w:ascii="宋体" w:hAnsi="宋体" w:eastAsia="宋体" w:cs="宋体"/>
                <w:color w:val="000000"/>
                <w:sz w:val="18"/>
                <w:szCs w:val="18"/>
                <w:highlight w:val="none"/>
                <w:lang w:eastAsia="zh-CN"/>
              </w:rPr>
            </w:r>
            <w:r/>
          </w:p>
          <w:p>
            <w:pPr>
              <w:pStyle w:val="1083"/>
              <w:ind w:left="160" w:firstLine="20"/>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9月〜10月</w:t>
            </w:r>
            <w:r>
              <w:rPr>
                <w:rFonts w:ascii="宋体" w:hAnsi="宋体" w:eastAsia="宋体" w:cs="宋体"/>
                <w:color w:val="000000"/>
                <w:sz w:val="18"/>
                <w:szCs w:val="18"/>
                <w:highlight w:val="none"/>
                <w:lang w:eastAsia="zh-CN"/>
              </w:rPr>
            </w:r>
            <w:r/>
          </w:p>
        </w:tc>
        <w:tc>
          <w:tcPr>
            <w:shd w:val="clear" w:color="auto" w:fill="ffffff"/>
            <w:tcW w:w="4633" w:type="dxa"/>
            <w:vAlign w:val="center"/>
            <w:textDirection w:val="lrTb"/>
            <w:noWrap w:val="false"/>
          </w:tcPr>
          <w:p>
            <w:pPr>
              <w:pStyle w:val="1083"/>
              <w:ind w:left="160" w:firstLine="20"/>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发病期使用50%异菌脲粉剂1500倍液。65%甲霜灵1500焙液，28%灰霉克(多菌灵与乙霉威复配)粉剂800倍液，50%啶酰菌胺水分散粉剂1000〜1500倍液，1000亿个活芽孢/克枯草芽孢杆菌1000〜1500倍液。7〜10天喷1次，根据情况轮换用药喷施2〜次。</w:t>
            </w:r>
            <w:r>
              <w:rPr>
                <w:rFonts w:ascii="宋体" w:hAnsi="宋体" w:eastAsia="宋体" w:cs="宋体"/>
                <w:color w:val="000000"/>
                <w:sz w:val="18"/>
                <w:szCs w:val="18"/>
                <w:highlight w:val="none"/>
                <w:lang w:eastAsia="zh-CN"/>
              </w:rPr>
            </w:r>
            <w:r/>
          </w:p>
        </w:tc>
      </w:tr>
      <w:tr>
        <w:trPr>
          <w:trHeight w:val="2588" w:hRule="exact"/>
        </w:trPr>
        <w:tc>
          <w:tcPr>
            <w:shd w:val="clear" w:color="auto" w:fill="ffffff"/>
            <w:tcW w:w="925" w:type="dxa"/>
            <w:vAlign w:val="center"/>
            <w:textDirection w:val="lrTb"/>
            <w:noWrap w:val="false"/>
          </w:tcPr>
          <w:p>
            <w:pPr>
              <w:pStyle w:val="1083"/>
              <w:ind w:left="160" w:firstLine="20"/>
              <w:jc w:val="center"/>
              <w:spacing w:line="24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叶斑痫</w:t>
            </w:r>
            <w:r>
              <w:rPr>
                <w:rFonts w:ascii="宋体" w:hAnsi="宋体" w:eastAsia="宋体" w:cs="宋体"/>
                <w:color w:val="000000"/>
                <w:sz w:val="18"/>
                <w:szCs w:val="18"/>
                <w:highlight w:val="none"/>
                <w:lang w:eastAsia="zh-CN"/>
              </w:rPr>
            </w:r>
            <w:r/>
          </w:p>
        </w:tc>
        <w:tc>
          <w:tcPr>
            <w:shd w:val="clear" w:color="auto" w:fill="ffffff"/>
            <w:tcW w:w="1920" w:type="dxa"/>
            <w:vAlign w:val="center"/>
            <w:textDirection w:val="lrTb"/>
            <w:noWrap w:val="false"/>
          </w:tcPr>
          <w:p>
            <w:pPr>
              <w:pStyle w:val="1083"/>
              <w:ind w:left="0"/>
              <w:jc w:val="center"/>
              <w:spacing w:after="80"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普德尔尾孢</w:t>
            </w:r>
            <w:r>
              <w:rPr>
                <w:rFonts w:ascii="宋体" w:hAnsi="宋体" w:eastAsia="宋体" w:cs="宋体"/>
                <w:color w:val="000000"/>
                <w:sz w:val="18"/>
                <w:szCs w:val="18"/>
                <w:highlight w:val="none"/>
                <w:lang w:eastAsia="zh-CN"/>
              </w:rPr>
            </w:r>
            <w:r/>
          </w:p>
          <w:p>
            <w:pPr>
              <w:pStyle w:val="1083"/>
              <w:ind w:left="0"/>
              <w:jc w:val="center"/>
              <w:spacing w:after="80"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zh-CN" w:bidi="en-US"/>
              </w:rPr>
              <w:t xml:space="preserve">Cercospora puderi</w:t>
            </w:r>
            <w:r>
              <w:rPr>
                <w:rFonts w:ascii="宋体" w:hAnsi="宋体" w:eastAsia="宋体" w:cs="宋体"/>
                <w:color w:val="000000"/>
                <w:sz w:val="18"/>
                <w:szCs w:val="18"/>
                <w:highlight w:val="none"/>
                <w:lang w:eastAsia="zh-CN"/>
              </w:rPr>
            </w:r>
            <w:r/>
          </w:p>
          <w:p>
            <w:pPr>
              <w:pStyle w:val="1083"/>
              <w:ind w:left="0"/>
              <w:jc w:val="center"/>
              <w:spacing w:after="80"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茶褐斑拟盘多毛孢</w:t>
            </w:r>
            <w:r>
              <w:rPr>
                <w:rFonts w:ascii="宋体" w:hAnsi="宋体" w:eastAsia="宋体" w:cs="宋体"/>
                <w:color w:val="000000"/>
                <w:sz w:val="18"/>
                <w:szCs w:val="18"/>
                <w:highlight w:val="none"/>
                <w:lang w:eastAsia="zh-CN"/>
              </w:rPr>
            </w:r>
            <w:r/>
          </w:p>
          <w:p>
            <w:pPr>
              <w:pStyle w:val="1083"/>
              <w:ind w:left="0"/>
              <w:jc w:val="center"/>
              <w:spacing w:after="140"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zh-CN" w:bidi="en-US"/>
              </w:rPr>
              <w:t xml:space="preserve">Pestalotia guepini</w:t>
            </w:r>
            <w:r>
              <w:rPr>
                <w:rFonts w:ascii="宋体" w:hAnsi="宋体" w:eastAsia="宋体" w:cs="宋体"/>
                <w:color w:val="000000"/>
                <w:sz w:val="18"/>
                <w:szCs w:val="18"/>
                <w:highlight w:val="none"/>
                <w:lang w:eastAsia="zh-CN"/>
              </w:rPr>
            </w:r>
            <w:r/>
          </w:p>
          <w:p>
            <w:pPr>
              <w:pStyle w:val="1083"/>
              <w:ind w:left="0"/>
              <w:jc w:val="center"/>
              <w:spacing w:after="100" w:line="280" w:lineRule="exact"/>
              <w:shd w:val="clear" w:color="auto" w:fill="auto"/>
              <w:rPr>
                <w:rFonts w:ascii="宋体" w:hAnsi="宋体" w:eastAsia="宋体" w:cs="宋体"/>
                <w:color w:val="000000"/>
                <w:sz w:val="18"/>
                <w:szCs w:val="18"/>
                <w:highlight w:val="none"/>
                <w:lang w:val="en-US" w:eastAsia="zh-CN" w:bidi="en-US"/>
              </w:rPr>
            </w:pPr>
            <w:r>
              <w:rPr>
                <w:rFonts w:hint="eastAsia" w:ascii="宋体" w:hAnsi="宋体" w:eastAsia="宋体" w:cs="宋体"/>
                <w:color w:val="000000"/>
                <w:sz w:val="18"/>
                <w:szCs w:val="18"/>
                <w:highlight w:val="none"/>
                <w:lang w:val="en-US" w:eastAsia="zh-CN" w:bidi="en-US"/>
              </w:rPr>
              <w:t xml:space="preserve">千屈菜绒边胶盘孢</w:t>
            </w:r>
            <w:r>
              <w:rPr>
                <w:rFonts w:ascii="宋体" w:hAnsi="宋体" w:eastAsia="宋体" w:cs="宋体"/>
                <w:color w:val="000000"/>
                <w:sz w:val="18"/>
                <w:szCs w:val="18"/>
                <w:highlight w:val="none"/>
                <w:lang w:val="en-US" w:eastAsia="zh-CN" w:bidi="en-US"/>
              </w:rPr>
            </w:r>
            <w:r/>
          </w:p>
          <w:p>
            <w:pPr>
              <w:pStyle w:val="1083"/>
              <w:ind w:left="0"/>
              <w:jc w:val="center"/>
              <w:spacing w:after="100"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zh-CN" w:bidi="en-US"/>
              </w:rPr>
              <w:t xml:space="preserve">Hainesia lythri</w:t>
            </w:r>
            <w:r>
              <w:rPr>
                <w:rFonts w:ascii="宋体" w:hAnsi="宋体" w:eastAsia="宋体" w:cs="宋体"/>
                <w:color w:val="000000"/>
                <w:sz w:val="18"/>
                <w:szCs w:val="18"/>
                <w:highlight w:val="none"/>
                <w:lang w:eastAsia="zh-CN"/>
              </w:rPr>
            </w:r>
            <w:r/>
          </w:p>
        </w:tc>
        <w:tc>
          <w:tcPr>
            <w:shd w:val="clear" w:color="auto" w:fill="ffffff"/>
            <w:tcW w:w="851" w:type="dxa"/>
            <w:vAlign w:val="center"/>
            <w:textDirection w:val="lrTb"/>
            <w:noWrap w:val="false"/>
          </w:tcPr>
          <w:p>
            <w:pPr>
              <w:pStyle w:val="108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叶</w:t>
            </w:r>
            <w:r>
              <w:rPr>
                <w:rFonts w:ascii="宋体" w:hAnsi="宋体" w:eastAsia="宋体" w:cs="宋体"/>
                <w:color w:val="000000"/>
                <w:sz w:val="18"/>
                <w:szCs w:val="18"/>
                <w:highlight w:val="none"/>
                <w:lang w:eastAsia="zh-CN"/>
              </w:rPr>
            </w:r>
            <w:r/>
          </w:p>
        </w:tc>
        <w:tc>
          <w:tcPr>
            <w:shd w:val="clear" w:color="auto" w:fill="ffffff"/>
            <w:tcW w:w="1486" w:type="dxa"/>
            <w:vAlign w:val="center"/>
            <w:textDirection w:val="lrTb"/>
            <w:noWrap w:val="false"/>
          </w:tcPr>
          <w:p>
            <w:pPr>
              <w:pStyle w:val="1083"/>
              <w:ind w:left="0" w:firstLine="140"/>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5月〜9月</w:t>
            </w:r>
            <w:r>
              <w:rPr>
                <w:rFonts w:ascii="宋体" w:hAnsi="宋体" w:eastAsia="宋体" w:cs="宋体"/>
                <w:color w:val="000000"/>
                <w:sz w:val="18"/>
                <w:szCs w:val="18"/>
                <w:highlight w:val="none"/>
                <w:lang w:eastAsia="zh-CN"/>
              </w:rPr>
            </w:r>
            <w:r/>
          </w:p>
        </w:tc>
        <w:tc>
          <w:tcPr>
            <w:shd w:val="clear" w:color="auto" w:fill="ffffff"/>
            <w:tcW w:w="4633" w:type="dxa"/>
            <w:vAlign w:val="center"/>
            <w:textDirection w:val="lrTb"/>
            <w:noWrap w:val="false"/>
          </w:tcPr>
          <w:p>
            <w:pPr>
              <w:pStyle w:val="1083"/>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发病初期70%代森锰锌可湿性粉剂600〜800倍液，50%硫磺•多菌灵500〜700倍液，50%多菌灵可湿件粉剂</w:t>
            </w:r>
            <w:r>
              <w:rPr>
                <w:rFonts w:hint="eastAsia" w:ascii="宋体" w:hAnsi="宋体" w:eastAsia="宋体" w:cs="宋体"/>
                <w:color w:val="000000"/>
                <w:sz w:val="18"/>
                <w:szCs w:val="18"/>
                <w:highlight w:val="none"/>
                <w:lang w:val="en-US" w:eastAsia="zh-CN" w:bidi="en-US"/>
              </w:rPr>
              <w:t xml:space="preserve">600</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800</w:t>
            </w:r>
            <w:r>
              <w:rPr>
                <w:rFonts w:hint="eastAsia" w:ascii="宋体" w:hAnsi="宋体" w:eastAsia="宋体" w:cs="宋体"/>
                <w:color w:val="000000"/>
                <w:sz w:val="18"/>
                <w:szCs w:val="18"/>
                <w:highlight w:val="none"/>
                <w:lang w:eastAsia="zh-CN"/>
              </w:rPr>
              <w:t xml:space="preserve">倍液，25%丙环唑微乳剂3000倍液，25%苯</w:t>
            </w:r>
            <w:r>
              <w:rPr>
                <w:rFonts w:hint="eastAsia" w:ascii="宋体" w:hAnsi="宋体" w:eastAsia="宋体" w:cs="宋体"/>
                <w:color w:val="000000"/>
                <w:sz w:val="18"/>
                <w:szCs w:val="18"/>
                <w:highlight w:val="none"/>
                <w:lang w:val="en-US" w:eastAsia="zh-CN" w:bidi="en-US"/>
              </w:rPr>
              <w:t xml:space="preserve">1®</w:t>
            </w:r>
            <w:r>
              <w:rPr>
                <w:rFonts w:hint="eastAsia" w:ascii="宋体" w:hAnsi="宋体" w:eastAsia="宋体" w:cs="宋体"/>
                <w:color w:val="000000"/>
                <w:sz w:val="18"/>
                <w:szCs w:val="18"/>
                <w:highlight w:val="none"/>
                <w:lang w:eastAsia="zh-CN"/>
              </w:rPr>
              <w:t xml:space="preserve">屮坏叶苯醚甲环唑乳油5000倍液，4%四氟醚唑水乳剂1000〜1500倍液，50%嘧菌酯水分散粒剂1000倍液，40%氟硅唑乳油8000〜10000倍液，30%烯唑醇悬浮剂8000〜12000倍液，7〜10天喷1次，根据情况轮换用药喷施2〜3次。</w:t>
            </w:r>
            <w:r>
              <w:rPr>
                <w:rFonts w:ascii="宋体" w:hAnsi="宋体" w:eastAsia="宋体" w:cs="宋体"/>
                <w:color w:val="000000"/>
                <w:sz w:val="18"/>
                <w:szCs w:val="18"/>
                <w:highlight w:val="none"/>
                <w:lang w:eastAsia="zh-CN"/>
              </w:rPr>
            </w:r>
            <w:r/>
          </w:p>
        </w:tc>
      </w:tr>
      <w:tr>
        <w:trPr>
          <w:trHeight w:val="1517" w:hRule="exact"/>
        </w:trPr>
        <w:tc>
          <w:tcPr>
            <w:shd w:val="clear" w:color="auto" w:fill="ffffff"/>
            <w:tcW w:w="925"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val="en-US" w:eastAsia="zh-CN" w:bidi="en-US"/>
              </w:rPr>
              <w:t xml:space="preserve">霜霉病</w:t>
            </w:r>
            <w:r>
              <w:rPr>
                <w:rFonts w:ascii="宋体" w:hAnsi="宋体" w:eastAsia="宋体" w:cs="宋体"/>
                <w:color w:val="000000"/>
                <w:sz w:val="18"/>
                <w:szCs w:val="18"/>
                <w:highlight w:val="none"/>
                <w:lang w:eastAsia="zh-CN"/>
              </w:rPr>
            </w:r>
            <w:r/>
          </w:p>
        </w:tc>
        <w:tc>
          <w:tcPr>
            <w:shd w:val="clear" w:color="auto" w:fill="ffffff"/>
            <w:tcW w:w="1920" w:type="dxa"/>
            <w:vAlign w:val="center"/>
            <w:textDirection w:val="lrTb"/>
            <w:noWrap w:val="false"/>
          </w:tcPr>
          <w:p>
            <w:pPr>
              <w:pStyle w:val="1083"/>
              <w:ind w:left="0"/>
              <w:jc w:val="center"/>
              <w:spacing w:after="12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蔷薇霜霉菌</w:t>
            </w:r>
            <w:r>
              <w:rPr>
                <w:rFonts w:ascii="宋体" w:hAnsi="宋体" w:eastAsia="宋体" w:cs="宋体"/>
                <w:color w:val="000000"/>
                <w:sz w:val="18"/>
                <w:szCs w:val="18"/>
                <w:highlight w:val="none"/>
                <w:lang w:eastAsia="zh-CN"/>
              </w:rPr>
            </w:r>
            <w:r/>
          </w:p>
          <w:p>
            <w:pPr>
              <w:pStyle w:val="1083"/>
              <w:ind w:left="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en-US" w:bidi="en-US"/>
              </w:rPr>
              <w:t xml:space="preserve">Peronospora sp</w:t>
            </w:r>
            <w:r>
              <w:rPr>
                <w:rFonts w:hint="eastAsia" w:ascii="宋体" w:hAnsi="宋体" w:eastAsia="宋体" w:cs="宋体"/>
                <w:i/>
                <w:iCs/>
                <w:color w:val="000000"/>
                <w:sz w:val="18"/>
                <w:szCs w:val="18"/>
                <w:highlight w:val="none"/>
                <w:lang w:val="en-US" w:eastAsia="zh-CN" w:bidi="en-US"/>
              </w:rPr>
              <w:t xml:space="preserve">o</w:t>
            </w:r>
            <w:r>
              <w:rPr>
                <w:rFonts w:hint="eastAsia" w:ascii="宋体" w:hAnsi="宋体" w:eastAsia="宋体" w:cs="宋体"/>
                <w:i/>
                <w:iCs/>
                <w:color w:val="000000"/>
                <w:sz w:val="18"/>
                <w:szCs w:val="18"/>
                <w:highlight w:val="none"/>
                <w:lang w:val="en-US" w:eastAsia="en-US" w:bidi="en-US"/>
              </w:rPr>
              <w:t xml:space="preserve">rs</w:t>
            </w:r>
            <w:r>
              <w:rPr>
                <w:rFonts w:hint="eastAsia" w:ascii="宋体" w:hAnsi="宋体" w:eastAsia="宋体" w:cs="宋体"/>
                <w:i/>
                <w:iCs/>
                <w:color w:val="000000"/>
                <w:sz w:val="18"/>
                <w:szCs w:val="18"/>
                <w:highlight w:val="none"/>
                <w:lang w:val="en-US" w:eastAsia="zh-CN" w:bidi="en-US"/>
              </w:rPr>
              <w:t xml:space="preserve">a</w:t>
            </w:r>
            <w:r>
              <w:rPr>
                <w:rFonts w:ascii="宋体" w:hAnsi="宋体" w:eastAsia="宋体" w:cs="宋体"/>
                <w:color w:val="000000"/>
                <w:sz w:val="18"/>
                <w:szCs w:val="18"/>
                <w:highlight w:val="none"/>
                <w:lang w:eastAsia="zh-CN"/>
              </w:rPr>
            </w:r>
            <w:r/>
          </w:p>
        </w:tc>
        <w:tc>
          <w:tcPr>
            <w:shd w:val="clear" w:color="auto" w:fill="ffffff"/>
            <w:tcW w:w="851" w:type="dxa"/>
            <w:vAlign w:val="center"/>
            <w:textDirection w:val="lrTb"/>
            <w:noWrap w:val="false"/>
          </w:tcPr>
          <w:p>
            <w:pPr>
              <w:pStyle w:val="108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嫩叶，</w:t>
            </w:r>
            <w:r>
              <w:rPr>
                <w:rFonts w:ascii="宋体" w:hAnsi="宋体" w:eastAsia="宋体" w:cs="宋体"/>
                <w:color w:val="000000"/>
                <w:sz w:val="18"/>
                <w:szCs w:val="18"/>
                <w:highlight w:val="none"/>
                <w:lang w:eastAsia="zh-CN"/>
              </w:rPr>
            </w:r>
            <w:r/>
          </w:p>
          <w:p>
            <w:pPr>
              <w:pStyle w:val="108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嫩梢。</w:t>
            </w:r>
            <w:r>
              <w:rPr>
                <w:rFonts w:ascii="宋体" w:hAnsi="宋体" w:eastAsia="宋体" w:cs="宋体"/>
                <w:color w:val="000000"/>
                <w:sz w:val="18"/>
                <w:szCs w:val="18"/>
                <w:highlight w:val="none"/>
                <w:lang w:eastAsia="zh-CN"/>
              </w:rPr>
            </w:r>
            <w:r/>
          </w:p>
        </w:tc>
        <w:tc>
          <w:tcPr>
            <w:shd w:val="clear" w:color="auto" w:fill="ffffff"/>
            <w:tcW w:w="1486" w:type="dxa"/>
            <w:vAlign w:val="center"/>
            <w:textDirection w:val="lrTb"/>
            <w:noWrap w:val="false"/>
          </w:tcPr>
          <w:p>
            <w:pPr>
              <w:pStyle w:val="1083"/>
              <w:ind w:left="0" w:right="180"/>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低温、高湿时易发生病害。</w:t>
            </w:r>
            <w:r>
              <w:rPr>
                <w:rFonts w:ascii="宋体" w:hAnsi="宋体" w:eastAsia="宋体" w:cs="宋体"/>
                <w:color w:val="000000"/>
                <w:sz w:val="18"/>
                <w:szCs w:val="18"/>
                <w:highlight w:val="none"/>
                <w:lang w:eastAsia="zh-CN"/>
              </w:rPr>
            </w:r>
            <w:r/>
          </w:p>
          <w:p>
            <w:pPr>
              <w:pStyle w:val="1083"/>
              <w:ind w:left="0" w:right="180"/>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3月〜4月</w:t>
            </w:r>
            <w:r>
              <w:rPr>
                <w:rFonts w:hint="eastAsia" w:ascii="宋体" w:hAnsi="宋体" w:eastAsia="宋体" w:cs="宋体"/>
                <w:color w:val="000000"/>
                <w:sz w:val="18"/>
                <w:szCs w:val="18"/>
                <w:highlight w:val="none"/>
                <w:lang w:eastAsia="zh-CN"/>
              </w:rPr>
              <w:br w:type="textWrapping" w:clear="all"/>
            </w:r>
            <w:r>
              <w:rPr>
                <w:rFonts w:hint="eastAsia" w:ascii="宋体" w:hAnsi="宋体" w:eastAsia="宋体" w:cs="宋体"/>
                <w:color w:val="000000"/>
                <w:sz w:val="18"/>
                <w:szCs w:val="18"/>
                <w:highlight w:val="none"/>
                <w:lang w:eastAsia="zh-CN"/>
              </w:rPr>
              <w:t xml:space="preserve">9月〜11月</w:t>
            </w:r>
            <w:r>
              <w:rPr>
                <w:rFonts w:ascii="宋体" w:hAnsi="宋体" w:eastAsia="宋体" w:cs="宋体"/>
                <w:color w:val="000000"/>
                <w:sz w:val="18"/>
                <w:szCs w:val="18"/>
                <w:highlight w:val="none"/>
                <w:lang w:eastAsia="zh-CN"/>
              </w:rPr>
            </w:r>
            <w:r/>
          </w:p>
        </w:tc>
        <w:tc>
          <w:tcPr>
            <w:shd w:val="clear" w:color="auto" w:fill="ffffff"/>
            <w:tcW w:w="4633" w:type="dxa"/>
            <w:vAlign w:val="center"/>
            <w:textDirection w:val="lrTb"/>
            <w:noWrap w:val="false"/>
          </w:tcPr>
          <w:p>
            <w:pPr>
              <w:pStyle w:val="1083"/>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展叶后使用1%等量式或倍量式（石灰多）波尔多液预防，发病期使用25%甲霜灵可湿性粉剂800倍液，69%安克锰锌（烯酰吗啉与代森锰锌复配）800倍液，70%丙森锌400〜600倍液，10〜15天喷施1次，根据情况轮换用药喷施2〜3次。</w:t>
            </w:r>
            <w:r>
              <w:rPr>
                <w:rFonts w:ascii="宋体" w:hAnsi="宋体" w:eastAsia="宋体" w:cs="宋体"/>
                <w:color w:val="000000"/>
                <w:sz w:val="18"/>
                <w:szCs w:val="18"/>
                <w:highlight w:val="none"/>
                <w:lang w:eastAsia="zh-CN"/>
              </w:rPr>
            </w:r>
            <w:r/>
          </w:p>
        </w:tc>
      </w:tr>
      <w:tr>
        <w:trPr>
          <w:trHeight w:val="2239" w:hRule="exact"/>
        </w:trPr>
        <w:tc>
          <w:tcPr>
            <w:shd w:val="clear" w:color="auto" w:fill="ffffff"/>
            <w:tcW w:w="925"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病毒病</w:t>
            </w:r>
            <w:r>
              <w:rPr>
                <w:rFonts w:ascii="宋体" w:hAnsi="宋体" w:eastAsia="宋体" w:cs="宋体"/>
                <w:color w:val="000000"/>
                <w:sz w:val="18"/>
                <w:szCs w:val="18"/>
                <w:highlight w:val="none"/>
                <w:lang w:eastAsia="zh-CN"/>
              </w:rPr>
            </w:r>
            <w:r/>
          </w:p>
        </w:tc>
        <w:tc>
          <w:tcPr>
            <w:shd w:val="clear" w:color="auto" w:fill="ffffff"/>
            <w:tcW w:w="1920" w:type="dxa"/>
            <w:vAlign w:val="center"/>
            <w:textDirection w:val="lrTb"/>
            <w:noWrap w:val="false"/>
          </w:tcPr>
          <w:p>
            <w:pPr>
              <w:pStyle w:val="1083"/>
              <w:ind w:left="0"/>
              <w:jc w:val="center"/>
              <w:spacing w:line="24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val="en-US" w:eastAsia="zh-CN" w:bidi="en-US"/>
              </w:rPr>
              <w:t xml:space="preserve">月季</w:t>
            </w:r>
            <w:r>
              <w:rPr>
                <w:rFonts w:hint="eastAsia" w:ascii="宋体" w:hAnsi="宋体" w:eastAsia="宋体" w:cs="宋体"/>
                <w:color w:val="000000"/>
                <w:sz w:val="18"/>
                <w:szCs w:val="18"/>
                <w:highlight w:val="none"/>
                <w:lang w:eastAsia="zh-CN"/>
              </w:rPr>
              <w:t xml:space="preserve">花叶病毒</w:t>
            </w:r>
            <w:r>
              <w:rPr>
                <w:rFonts w:ascii="宋体" w:hAnsi="宋体" w:eastAsia="宋体" w:cs="宋体"/>
                <w:color w:val="000000"/>
                <w:sz w:val="18"/>
                <w:szCs w:val="18"/>
                <w:highlight w:val="none"/>
                <w:lang w:eastAsia="zh-CN"/>
              </w:rPr>
            </w:r>
            <w:r/>
          </w:p>
          <w:p>
            <w:pPr>
              <w:pStyle w:val="1083"/>
              <w:ind w:left="0"/>
              <w:jc w:val="center"/>
              <w:spacing w:line="240" w:lineRule="exact"/>
              <w:shd w:val="clear" w:color="auto" w:fill="auto"/>
              <w:rPr>
                <w:rFonts w:ascii="宋体" w:hAnsi="宋体" w:eastAsia="宋体" w:cs="宋体"/>
                <w:i/>
                <w:iCs/>
                <w:color w:val="000000"/>
                <w:sz w:val="18"/>
                <w:szCs w:val="18"/>
                <w:highlight w:val="none"/>
                <w:lang w:val="en-US" w:eastAsia="zh-CN" w:bidi="en-US"/>
              </w:rPr>
            </w:pPr>
            <w:r>
              <w:rPr>
                <w:rFonts w:hint="eastAsia" w:ascii="宋体" w:hAnsi="宋体" w:eastAsia="宋体" w:cs="宋体"/>
                <w:i/>
                <w:iCs/>
                <w:color w:val="000000"/>
                <w:sz w:val="18"/>
                <w:szCs w:val="18"/>
                <w:highlight w:val="none"/>
                <w:lang w:val="en-US" w:eastAsia="zh-CN" w:bidi="en-US"/>
              </w:rPr>
              <w:t xml:space="preserve">Rosa mosaic virus</w:t>
            </w:r>
            <w:r>
              <w:rPr>
                <w:rFonts w:ascii="宋体" w:hAnsi="宋体" w:eastAsia="宋体" w:cs="宋体"/>
                <w:i/>
                <w:iCs/>
                <w:color w:val="000000"/>
                <w:sz w:val="18"/>
                <w:szCs w:val="18"/>
                <w:highlight w:val="none"/>
                <w:lang w:val="en-US" w:eastAsia="zh-CN" w:bidi="en-US"/>
              </w:rPr>
            </w:r>
            <w:r/>
          </w:p>
          <w:p>
            <w:pPr>
              <w:pStyle w:val="1083"/>
              <w:ind w:left="0"/>
              <w:jc w:val="center"/>
              <w:spacing w:line="24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南芥菜花叶病毒</w:t>
            </w:r>
            <w:r>
              <w:rPr>
                <w:rFonts w:ascii="宋体" w:hAnsi="宋体" w:eastAsia="宋体" w:cs="宋体"/>
                <w:color w:val="000000"/>
                <w:sz w:val="18"/>
                <w:szCs w:val="18"/>
                <w:highlight w:val="none"/>
                <w:lang w:eastAsia="zh-CN"/>
              </w:rPr>
            </w:r>
            <w:r/>
          </w:p>
          <w:p>
            <w:pPr>
              <w:pStyle w:val="1083"/>
              <w:ind w:left="0"/>
              <w:jc w:val="center"/>
              <w:spacing w:line="240" w:lineRule="exact"/>
              <w:shd w:val="clear" w:color="auto" w:fill="auto"/>
              <w:rPr>
                <w:rFonts w:ascii="宋体" w:hAnsi="宋体" w:eastAsia="宋体" w:cs="宋体"/>
                <w:i/>
                <w:iCs/>
                <w:color w:val="000000"/>
                <w:sz w:val="18"/>
                <w:szCs w:val="18"/>
                <w:highlight w:val="none"/>
                <w:lang w:val="en-US" w:eastAsia="zh-CN" w:bidi="en-US"/>
              </w:rPr>
            </w:pPr>
            <w:r>
              <w:rPr>
                <w:rFonts w:hint="eastAsia" w:ascii="宋体" w:hAnsi="宋体" w:eastAsia="宋体" w:cs="宋体"/>
                <w:i/>
                <w:iCs/>
                <w:color w:val="000000"/>
                <w:sz w:val="18"/>
                <w:szCs w:val="18"/>
                <w:highlight w:val="none"/>
                <w:lang w:val="en-US" w:eastAsia="zh-CN" w:bidi="en-US"/>
              </w:rPr>
              <w:t xml:space="preserve">Arabis mosaic virus</w:t>
            </w:r>
            <w:r>
              <w:rPr>
                <w:rFonts w:ascii="宋体" w:hAnsi="宋体" w:eastAsia="宋体" w:cs="宋体"/>
                <w:i/>
                <w:iCs/>
                <w:color w:val="000000"/>
                <w:sz w:val="18"/>
                <w:szCs w:val="18"/>
                <w:highlight w:val="none"/>
                <w:lang w:val="en-US" w:eastAsia="zh-CN" w:bidi="en-US"/>
              </w:rPr>
            </w:r>
            <w:r/>
          </w:p>
          <w:p>
            <w:pPr>
              <w:pStyle w:val="1083"/>
              <w:ind w:left="0"/>
              <w:jc w:val="center"/>
              <w:spacing w:line="24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苹果花叶病毒</w:t>
            </w:r>
            <w:r>
              <w:rPr>
                <w:rFonts w:ascii="宋体" w:hAnsi="宋体" w:eastAsia="宋体" w:cs="宋体"/>
                <w:color w:val="000000"/>
                <w:sz w:val="18"/>
                <w:szCs w:val="18"/>
                <w:highlight w:val="none"/>
                <w:lang w:eastAsia="zh-CN"/>
              </w:rPr>
            </w:r>
            <w:r/>
          </w:p>
          <w:p>
            <w:pPr>
              <w:pStyle w:val="1083"/>
              <w:ind w:left="0"/>
              <w:jc w:val="center"/>
              <w:spacing w:line="240" w:lineRule="exact"/>
              <w:shd w:val="clear" w:color="auto" w:fill="auto"/>
              <w:rPr>
                <w:rFonts w:ascii="宋体" w:hAnsi="宋体" w:eastAsia="宋体" w:cs="宋体"/>
                <w:i/>
                <w:iCs/>
                <w:color w:val="000000"/>
                <w:sz w:val="18"/>
                <w:szCs w:val="18"/>
                <w:highlight w:val="none"/>
                <w:lang w:val="en-US" w:eastAsia="zh-CN" w:bidi="en-US"/>
              </w:rPr>
            </w:pPr>
            <w:r>
              <w:rPr>
                <w:rFonts w:hint="eastAsia" w:ascii="宋体" w:hAnsi="宋体" w:eastAsia="宋体" w:cs="宋体"/>
                <w:i/>
                <w:iCs/>
                <w:color w:val="000000"/>
                <w:sz w:val="18"/>
                <w:szCs w:val="18"/>
                <w:highlight w:val="none"/>
                <w:lang w:val="en-US" w:eastAsia="zh-CN" w:bidi="en-US"/>
              </w:rPr>
              <w:t xml:space="preserve">Apple mosaic viivs</w:t>
            </w:r>
            <w:r>
              <w:rPr>
                <w:rFonts w:ascii="宋体" w:hAnsi="宋体" w:eastAsia="宋体" w:cs="宋体"/>
                <w:i/>
                <w:iCs/>
                <w:color w:val="000000"/>
                <w:sz w:val="18"/>
                <w:szCs w:val="18"/>
                <w:highlight w:val="none"/>
                <w:lang w:val="en-US" w:eastAsia="zh-CN" w:bidi="en-US"/>
              </w:rPr>
            </w:r>
            <w:r/>
          </w:p>
          <w:p>
            <w:pPr>
              <w:pStyle w:val="1083"/>
              <w:ind w:left="0"/>
              <w:jc w:val="center"/>
              <w:spacing w:line="24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李属坏死坏斑病毒</w:t>
            </w:r>
            <w:r>
              <w:rPr>
                <w:rFonts w:ascii="宋体" w:hAnsi="宋体" w:eastAsia="宋体" w:cs="宋体"/>
                <w:color w:val="000000"/>
                <w:sz w:val="18"/>
                <w:szCs w:val="18"/>
                <w:highlight w:val="none"/>
                <w:lang w:eastAsia="zh-CN"/>
              </w:rPr>
            </w:r>
            <w:r/>
          </w:p>
          <w:p>
            <w:pPr>
              <w:pStyle w:val="1083"/>
              <w:ind w:left="0"/>
              <w:jc w:val="center"/>
              <w:spacing w:line="240" w:lineRule="exact"/>
              <w:shd w:val="clear" w:color="auto" w:fill="auto"/>
              <w:rPr>
                <w:rFonts w:ascii="宋体" w:hAnsi="宋体" w:eastAsia="宋体" w:cs="宋体"/>
                <w:color w:val="000000"/>
                <w:sz w:val="18"/>
                <w:szCs w:val="18"/>
                <w:highlight w:val="none"/>
                <w:lang w:val="en-US" w:eastAsia="zh-CN"/>
              </w:rPr>
            </w:pPr>
            <w:r>
              <w:rPr>
                <w:rFonts w:hint="eastAsia" w:ascii="宋体" w:hAnsi="宋体" w:eastAsia="宋体" w:cs="宋体"/>
                <w:i/>
                <w:iCs/>
                <w:color w:val="000000"/>
                <w:sz w:val="18"/>
                <w:szCs w:val="18"/>
                <w:highlight w:val="none"/>
                <w:lang w:val="en-US" w:eastAsia="zh-CN" w:bidi="en-US"/>
              </w:rPr>
              <w:t xml:space="preserve">Prunus necrotic ringspot virus</w:t>
            </w:r>
            <w:r>
              <w:rPr>
                <w:rFonts w:ascii="宋体" w:hAnsi="宋体" w:eastAsia="宋体" w:cs="宋体"/>
                <w:color w:val="000000"/>
                <w:sz w:val="18"/>
                <w:szCs w:val="18"/>
                <w:highlight w:val="none"/>
                <w:lang w:val="en-US" w:eastAsia="zh-CN"/>
              </w:rPr>
            </w:r>
            <w:r/>
          </w:p>
        </w:tc>
        <w:tc>
          <w:tcPr>
            <w:shd w:val="clear" w:color="auto" w:fill="ffffff"/>
            <w:tcW w:w="851" w:type="dxa"/>
            <w:vAlign w:val="center"/>
            <w:textDirection w:val="lrTb"/>
            <w:noWrap w:val="false"/>
          </w:tcPr>
          <w:p>
            <w:pPr>
              <w:pStyle w:val="108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叶片</w:t>
            </w:r>
            <w:r>
              <w:rPr>
                <w:rFonts w:ascii="宋体" w:hAnsi="宋体" w:eastAsia="宋体" w:cs="宋体"/>
                <w:color w:val="000000"/>
                <w:sz w:val="18"/>
                <w:szCs w:val="18"/>
                <w:highlight w:val="none"/>
                <w:lang w:eastAsia="zh-CN"/>
              </w:rPr>
            </w:r>
            <w:r/>
          </w:p>
        </w:tc>
        <w:tc>
          <w:tcPr>
            <w:shd w:val="clear" w:color="auto" w:fill="ffffff"/>
            <w:tcW w:w="1486" w:type="dxa"/>
            <w:vAlign w:val="center"/>
            <w:textDirection w:val="lrTb"/>
            <w:noWrap w:val="false"/>
          </w:tcPr>
          <w:p>
            <w:pPr>
              <w:pStyle w:val="1083"/>
              <w:ind w:left="0" w:right="180"/>
              <w:jc w:val="right"/>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4月〜10月</w:t>
            </w:r>
            <w:r>
              <w:rPr>
                <w:rFonts w:ascii="宋体" w:hAnsi="宋体" w:eastAsia="宋体" w:cs="宋体"/>
                <w:color w:val="000000"/>
                <w:sz w:val="18"/>
                <w:szCs w:val="18"/>
                <w:highlight w:val="none"/>
                <w:lang w:eastAsia="zh-CN"/>
              </w:rPr>
            </w:r>
            <w:r/>
          </w:p>
        </w:tc>
        <w:tc>
          <w:tcPr>
            <w:shd w:val="clear" w:color="auto" w:fill="ffffff"/>
            <w:tcW w:w="4633" w:type="dxa"/>
            <w:vAlign w:val="center"/>
            <w:textDirection w:val="lrTb"/>
            <w:noWrap w:val="false"/>
          </w:tcPr>
          <w:p>
            <w:pPr>
              <w:pStyle w:val="1083"/>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发现病株立即抜除，销毁，及时防治传毒昆虫（主要为蚜虫、叶蝉等刺吸性害虫）；药剂保护：被拔除病株周围的植株使用20%盐酸吗啉胍.乙酸铜400〜600倍液，40%克毒宝（盐酸吗啉胍与羟烯腺类复配）可溶性粉剂1000〜1500倍液，5%氨基寡糖素1500〜2000倍液,7〜10天喷1次，根据情况轮换用药喷施2〜3次。</w:t>
            </w:r>
            <w:r>
              <w:rPr>
                <w:rFonts w:ascii="宋体" w:hAnsi="宋体" w:eastAsia="宋体" w:cs="宋体"/>
                <w:color w:val="000000"/>
                <w:sz w:val="18"/>
                <w:szCs w:val="18"/>
                <w:highlight w:val="none"/>
                <w:lang w:eastAsia="zh-CN"/>
              </w:rPr>
            </w:r>
            <w:r/>
          </w:p>
        </w:tc>
      </w:tr>
      <w:tr>
        <w:trPr>
          <w:trHeight w:val="1927" w:hRule="exact"/>
        </w:trPr>
        <w:tc>
          <w:tcPr>
            <w:shd w:val="clear" w:color="auto" w:fill="ffffff"/>
            <w:tcW w:w="925" w:type="dxa"/>
            <w:vAlign w:val="center"/>
            <w:textDirection w:val="lrTb"/>
            <w:noWrap w:val="false"/>
          </w:tcPr>
          <w:p>
            <w:pPr>
              <w:pStyle w:val="1083"/>
              <w:ind w:left="0"/>
              <w:jc w:val="center"/>
              <w:spacing w:after="380" w:line="240" w:lineRule="auto"/>
              <w:shd w:val="clear" w:color="auto" w:fill="auto"/>
              <w:rPr>
                <w:rFonts w:ascii="宋体" w:hAnsi="宋体" w:eastAsia="宋体" w:cs="宋体"/>
                <w:color w:val="000000"/>
                <w:sz w:val="18"/>
                <w:szCs w:val="18"/>
                <w:highlight w:val="none"/>
                <w:lang w:eastAsia="zh-CN"/>
              </w:rPr>
            </w:pPr>
            <w:r>
              <w:rPr>
                <w:rFonts w:ascii="宋体" w:hAnsi="宋体" w:eastAsia="宋体" w:cs="宋体"/>
                <w:color w:val="000000"/>
                <w:sz w:val="18"/>
                <w:szCs w:val="18"/>
                <w:highlight w:val="none"/>
                <w:lang w:eastAsia="zh-CN"/>
              </w:rPr>
            </w:r>
            <w:r/>
          </w:p>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根癌病</w:t>
            </w:r>
            <w:r>
              <w:rPr>
                <w:rFonts w:ascii="宋体" w:hAnsi="宋体" w:eastAsia="宋体" w:cs="宋体"/>
                <w:color w:val="000000"/>
                <w:sz w:val="18"/>
                <w:szCs w:val="18"/>
                <w:highlight w:val="none"/>
                <w:lang w:eastAsia="zh-CN"/>
              </w:rPr>
            </w:r>
            <w:r/>
          </w:p>
        </w:tc>
        <w:tc>
          <w:tcPr>
            <w:shd w:val="clear" w:color="auto" w:fill="ffffff"/>
            <w:tcW w:w="1920" w:type="dxa"/>
            <w:vAlign w:val="center"/>
            <w:textDirection w:val="lrTb"/>
            <w:noWrap w:val="false"/>
          </w:tcPr>
          <w:p>
            <w:pPr>
              <w:pStyle w:val="1083"/>
              <w:ind w:left="0"/>
              <w:jc w:val="center"/>
              <w:spacing w:line="240" w:lineRule="auto"/>
              <w:shd w:val="clear" w:color="auto" w:fill="auto"/>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根癌土壤杆菌</w:t>
            </w:r>
            <w:r>
              <w:rPr>
                <w:rFonts w:hint="eastAsia" w:ascii="宋体" w:hAnsi="宋体" w:eastAsia="宋体" w:cs="宋体"/>
                <w:i/>
                <w:iCs/>
                <w:color w:val="000000"/>
                <w:sz w:val="18"/>
                <w:szCs w:val="18"/>
                <w:highlight w:val="none"/>
                <w:lang w:val="en-US" w:eastAsia="zh-CN" w:bidi="en-US"/>
              </w:rPr>
              <w:t xml:space="preserve">Agrobacterium tumefaciens</w:t>
            </w:r>
            <w:r>
              <w:rPr>
                <w:rFonts w:ascii="宋体" w:hAnsi="宋体" w:eastAsia="宋体" w:cs="宋体"/>
                <w:color w:val="000000"/>
                <w:sz w:val="18"/>
                <w:szCs w:val="18"/>
                <w:highlight w:val="none"/>
                <w:lang w:val="en-US" w:eastAsia="zh-CN"/>
              </w:rPr>
            </w:r>
            <w:r/>
          </w:p>
        </w:tc>
        <w:tc>
          <w:tcPr>
            <w:shd w:val="clear" w:color="auto" w:fill="ffffff"/>
            <w:tcW w:w="851" w:type="dxa"/>
            <w:vAlign w:val="center"/>
            <w:textDirection w:val="lrTb"/>
            <w:noWrap w:val="false"/>
          </w:tcPr>
          <w:p>
            <w:pPr>
              <w:pStyle w:val="1083"/>
              <w:jc w:val="center"/>
              <w:spacing w:after="14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地</w:t>
            </w:r>
            <w:r>
              <w:rPr>
                <w:rFonts w:hint="eastAsia" w:ascii="宋体" w:hAnsi="宋体" w:eastAsia="宋体" w:cs="宋体"/>
                <w:color w:val="000000"/>
                <w:sz w:val="18"/>
                <w:szCs w:val="18"/>
                <w:highlight w:val="none"/>
                <w:lang w:val="en-US" w:eastAsia="zh-CN" w:bidi="en-US"/>
              </w:rPr>
              <w:t xml:space="preserve">下</w:t>
            </w:r>
            <w:r>
              <w:rPr>
                <w:rFonts w:hint="eastAsia" w:ascii="宋体" w:hAnsi="宋体" w:eastAsia="宋体" w:cs="宋体"/>
                <w:color w:val="000000"/>
                <w:sz w:val="18"/>
                <w:szCs w:val="18"/>
                <w:highlight w:val="none"/>
                <w:lang w:eastAsia="zh-CN"/>
              </w:rPr>
              <w:t xml:space="preserve">根系，</w:t>
            </w:r>
            <w:r>
              <w:rPr>
                <w:rFonts w:ascii="宋体" w:hAnsi="宋体" w:eastAsia="宋体" w:cs="宋体"/>
                <w:color w:val="000000"/>
                <w:sz w:val="18"/>
                <w:szCs w:val="18"/>
                <w:highlight w:val="none"/>
                <w:lang w:eastAsia="zh-CN"/>
              </w:rPr>
            </w:r>
            <w:r/>
          </w:p>
          <w:p>
            <w:pPr>
              <w:pStyle w:val="1083"/>
              <w:jc w:val="center"/>
              <w:spacing w:after="8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根系。</w:t>
            </w:r>
            <w:r>
              <w:rPr>
                <w:rFonts w:ascii="宋体" w:hAnsi="宋体" w:eastAsia="宋体" w:cs="宋体"/>
                <w:color w:val="000000"/>
                <w:sz w:val="18"/>
                <w:szCs w:val="18"/>
                <w:highlight w:val="none"/>
                <w:lang w:eastAsia="zh-CN"/>
              </w:rPr>
            </w:r>
            <w:r/>
          </w:p>
        </w:tc>
        <w:tc>
          <w:tcPr>
            <w:shd w:val="clear" w:color="auto" w:fill="ffffff"/>
            <w:tcW w:w="1486" w:type="dxa"/>
            <w:vAlign w:val="center"/>
            <w:textDirection w:val="lrTb"/>
            <w:noWrap w:val="false"/>
          </w:tcPr>
          <w:p>
            <w:pPr>
              <w:pStyle w:val="1083"/>
              <w:ind w:left="0" w:firstLine="14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全年</w:t>
            </w:r>
            <w:r>
              <w:rPr>
                <w:rFonts w:ascii="宋体" w:hAnsi="宋体" w:eastAsia="宋体" w:cs="宋体"/>
                <w:color w:val="000000"/>
                <w:sz w:val="18"/>
                <w:szCs w:val="18"/>
                <w:highlight w:val="none"/>
                <w:lang w:eastAsia="zh-CN"/>
              </w:rPr>
            </w:r>
            <w:r/>
          </w:p>
        </w:tc>
        <w:tc>
          <w:tcPr>
            <w:shd w:val="clear" w:color="auto" w:fill="ffffff"/>
            <w:tcW w:w="4633" w:type="dxa"/>
            <w:vAlign w:val="center"/>
            <w:textDirection w:val="lrTb"/>
            <w:noWrap w:val="false"/>
          </w:tcPr>
          <w:p>
            <w:pPr>
              <w:pStyle w:val="1083"/>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加强检疫，及吋销毁病株:用硫磺粉、硫酸亚铁</w:t>
            </w:r>
            <w:r>
              <w:rPr>
                <w:rFonts w:hint="eastAsia" w:ascii="宋体" w:hAnsi="宋体" w:eastAsia="宋体" w:cs="宋体"/>
                <w:color w:val="000000"/>
                <w:sz w:val="18"/>
                <w:szCs w:val="18"/>
                <w:highlight w:val="none"/>
                <w:lang w:val="en-US" w:eastAsia="zh-CN" w:bidi="en-US"/>
              </w:rPr>
              <w:t xml:space="preserve">（lOOg/㎡）</w:t>
            </w:r>
            <w:r>
              <w:rPr>
                <w:rFonts w:hint="eastAsia" w:ascii="宋体" w:hAnsi="宋体" w:eastAsia="宋体" w:cs="宋体"/>
                <w:color w:val="000000"/>
                <w:sz w:val="18"/>
                <w:szCs w:val="18"/>
                <w:highlight w:val="none"/>
                <w:lang w:eastAsia="zh-CN"/>
              </w:rPr>
              <w:t xml:space="preserve">拌土；对可疑苗木用1%碱式硫酸铜溶液浸泡</w:t>
            </w:r>
            <w:r>
              <w:rPr>
                <w:rFonts w:hint="eastAsia" w:ascii="宋体" w:hAnsi="宋体" w:eastAsia="宋体" w:cs="宋体"/>
                <w:color w:val="000000"/>
                <w:sz w:val="18"/>
                <w:szCs w:val="18"/>
                <w:highlight w:val="none"/>
                <w:lang w:val="en-US" w:eastAsia="zh-CN" w:bidi="en-US"/>
              </w:rPr>
              <w:t xml:space="preserve">5min；</w:t>
            </w:r>
            <w:r>
              <w:rPr>
                <w:rFonts w:hint="eastAsia" w:ascii="宋体" w:hAnsi="宋体" w:eastAsia="宋体" w:cs="宋体"/>
                <w:color w:val="000000"/>
                <w:sz w:val="18"/>
                <w:szCs w:val="18"/>
                <w:highlight w:val="none"/>
                <w:lang w:eastAsia="zh-CN"/>
              </w:rPr>
              <w:t xml:space="preserve">或12%农用链霉素</w:t>
            </w:r>
            <w:r>
              <w:rPr>
                <w:rFonts w:hint="eastAsia" w:ascii="宋体" w:hAnsi="宋体" w:eastAsia="宋体" w:cs="宋体"/>
                <w:color w:val="000000"/>
                <w:sz w:val="18"/>
                <w:szCs w:val="18"/>
                <w:highlight w:val="none"/>
                <w:lang w:val="en-US" w:eastAsia="zh-CN" w:bidi="en-US"/>
              </w:rPr>
              <w:t xml:space="preserve">500</w:t>
            </w:r>
            <w:r>
              <w:rPr>
                <w:rFonts w:hint="eastAsia" w:ascii="宋体" w:hAnsi="宋体" w:eastAsia="宋体" w:cs="宋体"/>
                <w:color w:val="000000"/>
                <w:sz w:val="18"/>
                <w:szCs w:val="18"/>
                <w:highlight w:val="none"/>
                <w:lang w:eastAsia="zh-CN"/>
              </w:rPr>
              <w:t xml:space="preserve">〜800倍液浸泡</w:t>
            </w:r>
            <w:r>
              <w:rPr>
                <w:rFonts w:hint="eastAsia" w:ascii="宋体" w:hAnsi="宋体" w:eastAsia="宋体" w:cs="宋体"/>
                <w:color w:val="000000"/>
                <w:sz w:val="18"/>
                <w:szCs w:val="18"/>
                <w:highlight w:val="none"/>
                <w:lang w:val="en-US" w:eastAsia="zh-CN" w:bidi="en-US"/>
              </w:rPr>
              <w:t xml:space="preserve">30min；</w:t>
            </w:r>
            <w:r>
              <w:rPr>
                <w:rFonts w:hint="eastAsia" w:ascii="宋体" w:hAnsi="宋体" w:eastAsia="宋体" w:cs="宋体"/>
                <w:color w:val="000000"/>
                <w:sz w:val="18"/>
                <w:szCs w:val="18"/>
                <w:highlight w:val="none"/>
                <w:lang w:eastAsia="zh-CN"/>
              </w:rPr>
              <w:t xml:space="preserve">露地苗木使用72%农用链霉素500〜</w:t>
            </w:r>
            <w:r>
              <w:rPr>
                <w:rFonts w:hint="eastAsia" w:ascii="宋体" w:hAnsi="宋体" w:eastAsia="宋体" w:cs="宋体"/>
                <w:color w:val="000000"/>
                <w:sz w:val="18"/>
                <w:szCs w:val="18"/>
                <w:highlight w:val="none"/>
                <w:lang w:val="en-US" w:eastAsia="zh-CN" w:bidi="en-US"/>
              </w:rPr>
              <w:t xml:space="preserve">800</w:t>
            </w:r>
            <w:r>
              <w:rPr>
                <w:rFonts w:hint="eastAsia" w:ascii="宋体" w:hAnsi="宋体" w:eastAsia="宋体" w:cs="宋体"/>
                <w:color w:val="000000"/>
                <w:sz w:val="18"/>
                <w:szCs w:val="18"/>
                <w:highlight w:val="none"/>
                <w:lang w:eastAsia="zh-CN"/>
              </w:rPr>
              <w:t xml:space="preserve">倍液，10〜15天灌根1次，预防：用生防菌放射土壤杆菌K</w:t>
            </w:r>
            <w:r>
              <w:rPr>
                <w:rFonts w:hint="eastAsia" w:ascii="宋体" w:hAnsi="宋体" w:eastAsia="宋体" w:cs="宋体"/>
                <w:color w:val="000000"/>
                <w:sz w:val="18"/>
                <w:szCs w:val="18"/>
                <w:highlight w:val="none"/>
                <w:lang w:val="en-US" w:eastAsia="zh-CN" w:bidi="en-US"/>
              </w:rPr>
              <w:t xml:space="preserve">84</w:t>
            </w:r>
            <w:r>
              <w:rPr>
                <w:rFonts w:hint="eastAsia" w:ascii="宋体" w:hAnsi="宋体" w:eastAsia="宋体" w:cs="宋体"/>
                <w:color w:val="000000"/>
                <w:sz w:val="18"/>
                <w:szCs w:val="18"/>
                <w:highlight w:val="none"/>
                <w:lang w:eastAsia="zh-CN"/>
              </w:rPr>
              <w:t xml:space="preserve">菌剂浸泡苗木根部，预防该病发生。</w:t>
            </w:r>
            <w:r>
              <w:rPr>
                <w:rFonts w:ascii="宋体" w:hAnsi="宋体" w:eastAsia="宋体" w:cs="宋体"/>
                <w:color w:val="000000"/>
                <w:sz w:val="18"/>
                <w:szCs w:val="18"/>
                <w:highlight w:val="none"/>
                <w:lang w:eastAsia="zh-CN"/>
              </w:rPr>
            </w:r>
            <w:r/>
          </w:p>
        </w:tc>
      </w:tr>
      <w:tr>
        <w:trPr>
          <w:trHeight w:val="2334" w:hRule="exact"/>
        </w:trPr>
        <w:tc>
          <w:tcPr>
            <w:shd w:val="clear" w:color="auto" w:fill="ffffff"/>
            <w:tcW w:w="925"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根结线虫病</w:t>
            </w:r>
            <w:r>
              <w:rPr>
                <w:rFonts w:ascii="宋体" w:hAnsi="宋体" w:eastAsia="宋体" w:cs="宋体"/>
                <w:color w:val="000000"/>
                <w:sz w:val="18"/>
                <w:szCs w:val="18"/>
                <w:highlight w:val="none"/>
                <w:lang w:eastAsia="zh-CN"/>
              </w:rPr>
            </w:r>
            <w:r/>
          </w:p>
        </w:tc>
        <w:tc>
          <w:tcPr>
            <w:shd w:val="clear" w:color="auto" w:fill="ffffff"/>
            <w:tcW w:w="1920" w:type="dxa"/>
            <w:vAlign w:val="center"/>
            <w:textDirection w:val="lrTb"/>
            <w:noWrap w:val="false"/>
          </w:tcPr>
          <w:p>
            <w:pPr>
              <w:pStyle w:val="1083"/>
              <w:ind w:left="0"/>
              <w:jc w:val="center"/>
              <w:spacing w:line="240" w:lineRule="auto"/>
              <w:shd w:val="clear" w:color="auto" w:fill="auto"/>
              <w:rPr>
                <w:rFonts w:ascii="宋体" w:hAnsi="宋体" w:eastAsia="宋体" w:cs="宋体"/>
                <w:i/>
                <w:iCs/>
                <w:color w:val="000000"/>
                <w:sz w:val="18"/>
                <w:szCs w:val="18"/>
                <w:highlight w:val="none"/>
                <w:lang w:val="en-US" w:eastAsia="zh-CN" w:bidi="en-US"/>
              </w:rPr>
            </w:pPr>
            <w:r>
              <w:rPr>
                <w:rFonts w:hint="eastAsia" w:ascii="宋体" w:hAnsi="宋体" w:eastAsia="宋体" w:cs="宋体"/>
                <w:color w:val="000000"/>
                <w:sz w:val="18"/>
                <w:szCs w:val="18"/>
                <w:highlight w:val="none"/>
                <w:lang w:eastAsia="zh-CN"/>
              </w:rPr>
              <w:t xml:space="preserve">北方根结线虫</w:t>
            </w:r>
            <w:r>
              <w:rPr>
                <w:rFonts w:hint="eastAsia" w:ascii="宋体" w:hAnsi="宋体" w:eastAsia="宋体" w:cs="宋体"/>
                <w:i/>
                <w:iCs/>
                <w:color w:val="000000"/>
                <w:sz w:val="18"/>
                <w:szCs w:val="18"/>
                <w:highlight w:val="none"/>
                <w:lang w:val="en-US" w:eastAsia="en-US" w:bidi="en-US"/>
              </w:rPr>
              <w:t xml:space="preserve">Me</w:t>
            </w:r>
            <w:r>
              <w:rPr>
                <w:rFonts w:hint="eastAsia" w:ascii="宋体" w:hAnsi="宋体" w:eastAsia="宋体" w:cs="宋体"/>
                <w:i/>
                <w:iCs/>
                <w:color w:val="000000"/>
                <w:sz w:val="18"/>
                <w:szCs w:val="18"/>
                <w:highlight w:val="none"/>
                <w:lang w:val="en-US" w:eastAsia="zh-CN" w:bidi="en-US"/>
              </w:rPr>
              <w:t xml:space="preserve">l</w:t>
            </w:r>
            <w:r>
              <w:rPr>
                <w:rFonts w:hint="eastAsia" w:ascii="宋体" w:hAnsi="宋体" w:eastAsia="宋体" w:cs="宋体"/>
                <w:i/>
                <w:iCs/>
                <w:color w:val="000000"/>
                <w:sz w:val="18"/>
                <w:szCs w:val="18"/>
                <w:highlight w:val="none"/>
                <w:lang w:val="en-US" w:eastAsia="en-US" w:bidi="en-US"/>
              </w:rPr>
              <w:t xml:space="preserve">oidogyne</w:t>
            </w:r>
            <w:r>
              <w:rPr>
                <w:rFonts w:hint="eastAsia" w:ascii="宋体" w:hAnsi="宋体" w:eastAsia="宋体" w:cs="宋体"/>
                <w:i/>
                <w:iCs/>
                <w:color w:val="000000"/>
                <w:sz w:val="18"/>
                <w:szCs w:val="18"/>
                <w:highlight w:val="none"/>
                <w:lang w:val="en-US" w:eastAsia="zh-CN" w:bidi="en-US"/>
              </w:rPr>
              <w:t xml:space="preserve"> </w:t>
            </w:r>
            <w:r>
              <w:rPr>
                <w:rFonts w:hint="eastAsia" w:ascii="宋体" w:hAnsi="宋体" w:eastAsia="宋体" w:cs="宋体"/>
                <w:i/>
                <w:iCs/>
                <w:color w:val="000000"/>
                <w:sz w:val="18"/>
                <w:szCs w:val="18"/>
                <w:highlight w:val="none"/>
                <w:lang w:val="en-US" w:eastAsia="en-US" w:bidi="en-US"/>
              </w:rPr>
              <w:t xml:space="preserve">hap</w:t>
            </w:r>
            <w:r>
              <w:rPr>
                <w:rFonts w:hint="eastAsia" w:ascii="宋体" w:hAnsi="宋体" w:eastAsia="宋体" w:cs="宋体"/>
                <w:i/>
                <w:iCs/>
                <w:color w:val="000000"/>
                <w:sz w:val="18"/>
                <w:szCs w:val="18"/>
                <w:highlight w:val="none"/>
                <w:lang w:val="en-US" w:eastAsia="zh-CN" w:bidi="en-US"/>
              </w:rPr>
              <w:t xml:space="preserve">l</w:t>
            </w:r>
            <w:r>
              <w:rPr>
                <w:rFonts w:hint="eastAsia" w:ascii="宋体" w:hAnsi="宋体" w:eastAsia="宋体" w:cs="宋体"/>
                <w:i/>
                <w:iCs/>
                <w:color w:val="000000"/>
                <w:sz w:val="18"/>
                <w:szCs w:val="18"/>
                <w:highlight w:val="none"/>
                <w:lang w:val="en-US" w:eastAsia="en-US" w:bidi="en-US"/>
              </w:rPr>
              <w:t xml:space="preserve">a</w:t>
            </w:r>
            <w:r>
              <w:rPr>
                <w:rFonts w:ascii="宋体" w:hAnsi="宋体" w:eastAsia="宋体" w:cs="宋体"/>
                <w:i/>
                <w:iCs/>
                <w:color w:val="000000"/>
                <w:sz w:val="18"/>
                <w:szCs w:val="18"/>
                <w:highlight w:val="none"/>
                <w:lang w:val="en-US" w:eastAsia="zh-CN" w:bidi="en-US"/>
              </w:rPr>
            </w:r>
            <w:r/>
          </w:p>
        </w:tc>
        <w:tc>
          <w:tcPr>
            <w:shd w:val="clear" w:color="auto" w:fill="ffffff"/>
            <w:tcW w:w="851" w:type="dxa"/>
            <w:vAlign w:val="center"/>
            <w:textDirection w:val="lrTb"/>
            <w:noWrap w:val="false"/>
          </w:tcPr>
          <w:p>
            <w:pPr>
              <w:pStyle w:val="108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地下根系</w:t>
            </w:r>
            <w:r>
              <w:rPr>
                <w:rFonts w:ascii="宋体" w:hAnsi="宋体" w:eastAsia="宋体" w:cs="宋体"/>
                <w:color w:val="000000"/>
                <w:sz w:val="18"/>
                <w:szCs w:val="18"/>
                <w:highlight w:val="none"/>
                <w:lang w:eastAsia="zh-CN"/>
              </w:rPr>
            </w:r>
            <w:r/>
          </w:p>
        </w:tc>
        <w:tc>
          <w:tcPr>
            <w:shd w:val="clear" w:color="auto" w:fill="ffffff"/>
            <w:tcW w:w="1486" w:type="dxa"/>
            <w:vAlign w:val="center"/>
            <w:textDirection w:val="lrTb"/>
            <w:noWrap w:val="false"/>
          </w:tcPr>
          <w:p>
            <w:pPr>
              <w:pStyle w:val="1083"/>
              <w:ind w:left="0" w:right="180"/>
              <w:jc w:val="right"/>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4月〜10月</w:t>
            </w:r>
            <w:r>
              <w:rPr>
                <w:rFonts w:ascii="宋体" w:hAnsi="宋体" w:eastAsia="宋体" w:cs="宋体"/>
                <w:color w:val="000000"/>
                <w:sz w:val="18"/>
                <w:szCs w:val="18"/>
                <w:highlight w:val="none"/>
                <w:lang w:eastAsia="zh-CN"/>
              </w:rPr>
            </w:r>
            <w:r/>
          </w:p>
        </w:tc>
        <w:tc>
          <w:tcPr>
            <w:shd w:val="clear" w:color="auto" w:fill="ffffff"/>
            <w:tcW w:w="4633" w:type="dxa"/>
            <w:vAlign w:val="top"/>
            <w:textDirection w:val="lrTb"/>
            <w:noWrap w:val="false"/>
          </w:tcPr>
          <w:p>
            <w:pPr>
              <w:pStyle w:val="1083"/>
              <w:spacing w:line="240" w:lineRule="auto"/>
              <w:shd w:val="clear" w:color="auto" w:fill="auto"/>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加强捡疫：及时销毁病株：定植前将苗木在</w:t>
            </w:r>
            <w:r>
              <w:rPr>
                <w:rFonts w:hint="eastAsia" w:ascii="宋体" w:hAnsi="宋体" w:eastAsia="宋体" w:cs="宋体"/>
                <w:color w:val="000000"/>
                <w:sz w:val="18"/>
                <w:szCs w:val="18"/>
                <w:highlight w:val="none"/>
                <w:lang w:val="en-US" w:eastAsia="zh-CN" w:bidi="en-US"/>
              </w:rPr>
              <w:t xml:space="preserve">50℃</w:t>
            </w:r>
            <w:r>
              <w:rPr>
                <w:rFonts w:hint="eastAsia" w:ascii="宋体" w:hAnsi="宋体" w:eastAsia="宋体" w:cs="宋体"/>
                <w:color w:val="000000"/>
                <w:sz w:val="18"/>
                <w:szCs w:val="18"/>
                <w:highlight w:val="none"/>
                <w:lang w:eastAsia="zh-CN"/>
              </w:rPr>
              <w:t xml:space="preserve">左右热水中浸20〜</w:t>
            </w:r>
            <w:r>
              <w:rPr>
                <w:rFonts w:hint="eastAsia" w:ascii="宋体" w:hAnsi="宋体" w:eastAsia="宋体" w:cs="宋体"/>
                <w:color w:val="000000"/>
                <w:sz w:val="18"/>
                <w:szCs w:val="18"/>
                <w:highlight w:val="none"/>
                <w:lang w:val="en-US" w:eastAsia="zh-CN" w:bidi="en-US"/>
              </w:rPr>
              <w:t xml:space="preserve">30min；每亩根</w:t>
            </w:r>
            <w:r>
              <w:rPr>
                <w:rFonts w:hint="eastAsia" w:ascii="宋体" w:hAnsi="宋体" w:eastAsia="宋体" w:cs="宋体"/>
                <w:color w:val="000000"/>
                <w:sz w:val="18"/>
                <w:szCs w:val="18"/>
                <w:highlight w:val="none"/>
                <w:lang w:eastAsia="zh-CN"/>
              </w:rPr>
              <w:t xml:space="preserve">施10%苯线磷颗粒剂3〜</w:t>
            </w:r>
            <w:r>
              <w:rPr>
                <w:rFonts w:hint="eastAsia" w:ascii="宋体" w:hAnsi="宋体" w:eastAsia="宋体" w:cs="宋体"/>
                <w:color w:val="000000"/>
                <w:sz w:val="18"/>
                <w:szCs w:val="18"/>
                <w:highlight w:val="none"/>
                <w:lang w:val="en-US" w:eastAsia="zh-CN" w:bidi="en-US"/>
              </w:rPr>
              <w:t xml:space="preserve">5kg. </w:t>
            </w:r>
            <w:r>
              <w:rPr>
                <w:rFonts w:hint="eastAsia" w:ascii="宋体" w:hAnsi="宋体" w:eastAsia="宋体" w:cs="宋体"/>
                <w:color w:val="000000"/>
                <w:sz w:val="18"/>
                <w:szCs w:val="18"/>
                <w:highlight w:val="none"/>
                <w:lang w:val="en-US" w:eastAsia="zh-CN"/>
              </w:rPr>
              <w:t xml:space="preserve">10%</w:t>
            </w:r>
            <w:r>
              <w:rPr>
                <w:rFonts w:hint="eastAsia" w:ascii="宋体" w:hAnsi="宋体" w:eastAsia="宋体" w:cs="宋体"/>
                <w:color w:val="000000"/>
                <w:sz w:val="18"/>
                <w:szCs w:val="18"/>
                <w:highlight w:val="none"/>
                <w:lang w:eastAsia="zh-CN"/>
              </w:rPr>
              <w:t xml:space="preserve">硫线磷颗粒剂</w:t>
            </w: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3kg， </w:t>
            </w:r>
            <w:r>
              <w:rPr>
                <w:rFonts w:hint="eastAsia" w:ascii="宋体" w:hAnsi="宋体" w:eastAsia="宋体" w:cs="宋体"/>
                <w:color w:val="000000"/>
                <w:sz w:val="18"/>
                <w:szCs w:val="18"/>
                <w:highlight w:val="none"/>
                <w:lang w:val="en-US" w:eastAsia="zh-CN"/>
              </w:rPr>
              <w:t xml:space="preserve">10%</w:t>
            </w:r>
            <w:r>
              <w:rPr>
                <w:rFonts w:hint="eastAsia" w:ascii="宋体" w:hAnsi="宋体" w:eastAsia="宋体" w:cs="宋体"/>
                <w:color w:val="000000"/>
                <w:sz w:val="18"/>
                <w:szCs w:val="18"/>
                <w:highlight w:val="none"/>
                <w:lang w:eastAsia="zh-CN"/>
              </w:rPr>
              <w:t xml:space="preserve">灭线磷颗粒剂</w:t>
            </w: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3kg，</w:t>
            </w:r>
            <w:r>
              <w:rPr>
                <w:rFonts w:hint="eastAsia" w:ascii="宋体" w:hAnsi="宋体" w:eastAsia="宋体" w:cs="宋体"/>
                <w:color w:val="000000"/>
                <w:sz w:val="18"/>
                <w:szCs w:val="18"/>
                <w:highlight w:val="none"/>
                <w:lang w:val="en-US" w:eastAsia="zh-CN"/>
              </w:rPr>
              <w:t xml:space="preserve">10%</w:t>
            </w:r>
            <w:r>
              <w:rPr>
                <w:rFonts w:hint="eastAsia" w:ascii="宋体" w:hAnsi="宋体" w:eastAsia="宋体" w:cs="宋体"/>
                <w:color w:val="000000"/>
                <w:sz w:val="18"/>
                <w:szCs w:val="18"/>
                <w:highlight w:val="none"/>
                <w:lang w:eastAsia="zh-CN"/>
              </w:rPr>
              <w:t xml:space="preserve">杀线威颗粒剂</w:t>
            </w:r>
            <w:r>
              <w:rPr>
                <w:rFonts w:hint="eastAsia" w:ascii="宋体" w:hAnsi="宋体" w:eastAsia="宋体" w:cs="宋体"/>
                <w:color w:val="000000"/>
                <w:sz w:val="18"/>
                <w:szCs w:val="18"/>
                <w:highlight w:val="none"/>
                <w:lang w:val="en-US" w:eastAsia="zh-CN" w:bidi="en-US"/>
              </w:rPr>
              <w:t xml:space="preserve">2〜3kg, </w:t>
            </w:r>
            <w:r>
              <w:rPr>
                <w:rFonts w:hint="eastAsia" w:ascii="宋体" w:hAnsi="宋体" w:eastAsia="宋体" w:cs="宋体"/>
                <w:color w:val="000000"/>
                <w:sz w:val="18"/>
                <w:szCs w:val="18"/>
                <w:highlight w:val="none"/>
                <w:lang w:val="en-US" w:eastAsia="zh-CN"/>
              </w:rPr>
              <w:t xml:space="preserve">3% </w:t>
            </w:r>
            <w:r>
              <w:rPr>
                <w:rFonts w:hint="eastAsia" w:ascii="宋体" w:hAnsi="宋体" w:eastAsia="宋体" w:cs="宋体"/>
                <w:color w:val="000000"/>
                <w:sz w:val="18"/>
                <w:szCs w:val="18"/>
                <w:highlight w:val="none"/>
                <w:lang w:eastAsia="zh-CN"/>
              </w:rPr>
              <w:t xml:space="preserve">氯唑磷颗粒剂</w:t>
            </w:r>
            <w:r>
              <w:rPr>
                <w:rFonts w:hint="eastAsia" w:ascii="宋体" w:hAnsi="宋体" w:eastAsia="宋体" w:cs="宋体"/>
                <w:color w:val="000000"/>
                <w:sz w:val="18"/>
                <w:szCs w:val="18"/>
                <w:highlight w:val="none"/>
                <w:lang w:val="en-US" w:eastAsia="zh-CN" w:bidi="en-US"/>
              </w:rPr>
              <w:t xml:space="preserve">5</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7kg，10%噻唑膦颗粒剂 0.15</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0.2kg，0.</w:t>
            </w:r>
            <w:r>
              <w:rPr>
                <w:rFonts w:hint="eastAsia" w:ascii="宋体" w:hAnsi="宋体" w:eastAsia="宋体" w:cs="宋体"/>
                <w:color w:val="000000"/>
                <w:sz w:val="18"/>
                <w:szCs w:val="18"/>
                <w:highlight w:val="none"/>
                <w:lang w:val="en-US" w:eastAsia="zh-CN"/>
              </w:rPr>
              <w:t xml:space="preserve">5%阿维菌素颗粒剂4</w:t>
            </w:r>
            <w:r>
              <w:rPr>
                <w:rFonts w:hint="eastAsia" w:ascii="宋体" w:hAnsi="宋体" w:eastAsia="宋体" w:cs="宋体"/>
                <w:color w:val="000000"/>
                <w:sz w:val="18"/>
                <w:szCs w:val="18"/>
                <w:highlight w:val="none"/>
                <w:lang w:val="en-US" w:eastAsia="zh-CN" w:bidi="en-US"/>
              </w:rPr>
              <w:t xml:space="preserve">-5kg；</w:t>
            </w:r>
            <w:r>
              <w:rPr>
                <w:rFonts w:hint="eastAsia" w:ascii="宋体" w:hAnsi="宋体" w:eastAsia="宋体" w:cs="宋体"/>
                <w:color w:val="000000"/>
                <w:sz w:val="18"/>
                <w:szCs w:val="18"/>
                <w:highlight w:val="none"/>
                <w:lang w:eastAsia="zh-CN"/>
              </w:rPr>
              <w:t xml:space="preserve">使用生防制剂</w:t>
            </w: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lang w:eastAsia="zh-CN"/>
              </w:rPr>
              <w:t xml:space="preserve">亿孢子</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eastAsia="zh-CN"/>
              </w:rPr>
              <w:t xml:space="preserve">克淡紫拟青霉</w:t>
            </w:r>
            <w:r>
              <w:rPr>
                <w:rFonts w:hint="eastAsia" w:ascii="宋体" w:hAnsi="宋体" w:eastAsia="宋体" w:cs="宋体"/>
                <w:i/>
                <w:iCs/>
                <w:color w:val="000000"/>
                <w:sz w:val="18"/>
                <w:szCs w:val="18"/>
                <w:highlight w:val="none"/>
                <w:lang w:val="en-US" w:eastAsia="zh-CN" w:bidi="en-US"/>
              </w:rPr>
              <w:t xml:space="preserve">Paecilomyces lilacinus25</w:t>
            </w:r>
            <w:r>
              <w:rPr>
                <w:rFonts w:hint="eastAsia" w:ascii="宋体" w:hAnsi="宋体" w:eastAsia="宋体" w:cs="宋体"/>
                <w:color w:val="000000"/>
                <w:sz w:val="18"/>
                <w:szCs w:val="18"/>
                <w:highlight w:val="none"/>
                <w:lang w:eastAsia="zh-CN"/>
              </w:rPr>
              <w:t xml:space="preserve">〜30倍液。</w:t>
            </w:r>
            <w:r>
              <w:rPr>
                <w:rFonts w:ascii="宋体" w:hAnsi="宋体" w:eastAsia="宋体" w:cs="宋体"/>
                <w:color w:val="000000"/>
                <w:sz w:val="18"/>
                <w:szCs w:val="18"/>
                <w:highlight w:val="none"/>
                <w:lang w:val="en-US" w:eastAsia="zh-CN"/>
              </w:rPr>
            </w:r>
            <w:r/>
          </w:p>
        </w:tc>
      </w:tr>
    </w:tbl>
    <w:p>
      <w:pPr>
        <w:pStyle w:val="825"/>
        <w:jc w:val="left"/>
        <w:widowControl/>
        <w:rPr>
          <w:rFonts w:ascii="宋体" w:hAnsi="宋体" w:cs="宋体"/>
          <w:color w:val="000000"/>
          <w:szCs w:val="21"/>
          <w:highlight w:val="none"/>
        </w:rPr>
      </w:pPr>
      <w:r>
        <w:rPr>
          <w:rFonts w:ascii="宋体" w:hAnsi="宋体" w:cs="宋体"/>
          <w:color w:val="000000"/>
          <w:szCs w:val="21"/>
          <w:highlight w:val="none"/>
        </w:rPr>
      </w:r>
      <w:r/>
    </w:p>
    <w:p>
      <w:pPr>
        <w:pStyle w:val="825"/>
        <w:jc w:val="center"/>
        <w:keepLines w:val="0"/>
        <w:keepNext w:val="0"/>
        <w:pageBreakBefore/>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表B 主要害虫及防治方法</w:t>
      </w:r>
      <w:r>
        <w:rPr>
          <w:rFonts w:ascii="宋体" w:hAnsi="宋体" w:cs="宋体"/>
          <w:b/>
          <w:bCs/>
          <w:color w:val="000000"/>
          <w:szCs w:val="21"/>
          <w:highlight w:val="none"/>
        </w:rPr>
      </w:r>
      <w:r/>
    </w:p>
    <w:tbl>
      <w:tblPr>
        <w:tblW w:w="9991"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013"/>
        <w:gridCol w:w="2163"/>
        <w:gridCol w:w="851"/>
        <w:gridCol w:w="1276"/>
        <w:gridCol w:w="4688"/>
      </w:tblGrid>
      <w:tr>
        <w:trPr>
          <w:trHeight w:val="755" w:hRule="exact"/>
        </w:trPr>
        <w:tc>
          <w:tcPr>
            <w:gridSpan w:val="2"/>
            <w:shd w:val="clear" w:color="auto" w:fill="ffffff"/>
            <w:tcW w:w="3176" w:type="dxa"/>
            <w:vAlign w:val="center"/>
            <w:textDirection w:val="lrTb"/>
            <w:noWrap w:val="false"/>
          </w:tcPr>
          <w:p>
            <w:pPr>
              <w:pStyle w:val="1083"/>
              <w:ind w:left="0"/>
              <w:jc w:val="center"/>
              <w:spacing w:line="240" w:lineRule="auto"/>
              <w:shd w:val="clear" w:color="auto" w:fill="auto"/>
              <w:rPr>
                <w:rFonts w:ascii="宋体" w:hAnsi="宋体" w:eastAsia="宋体" w:cs="宋体"/>
                <w:b/>
                <w:color w:val="000000"/>
                <w:sz w:val="18"/>
                <w:szCs w:val="18"/>
                <w:highlight w:val="none"/>
                <w:lang w:eastAsia="zh-CN"/>
              </w:rPr>
            </w:pPr>
            <w:r>
              <w:rPr>
                <w:rFonts w:hint="eastAsia" w:ascii="宋体" w:hAnsi="宋体" w:eastAsia="宋体" w:cs="宋体"/>
                <w:b/>
                <w:color w:val="000000"/>
                <w:sz w:val="18"/>
                <w:szCs w:val="18"/>
                <w:highlight w:val="none"/>
                <w:lang w:eastAsia="zh-CN"/>
              </w:rPr>
              <w:t xml:space="preserve">害虫种类</w:t>
            </w:r>
            <w:r>
              <w:rPr>
                <w:rFonts w:ascii="宋体" w:hAnsi="宋体" w:eastAsia="宋体" w:cs="宋体"/>
                <w:b/>
                <w:color w:val="000000"/>
                <w:sz w:val="18"/>
                <w:szCs w:val="18"/>
                <w:highlight w:val="none"/>
                <w:lang w:eastAsia="zh-CN"/>
              </w:rPr>
            </w:r>
            <w:r/>
          </w:p>
        </w:tc>
        <w:tc>
          <w:tcPr>
            <w:shd w:val="clear" w:color="auto" w:fill="ffffff"/>
            <w:tcW w:w="851" w:type="dxa"/>
            <w:vAlign w:val="center"/>
            <w:textDirection w:val="lrTb"/>
            <w:noWrap w:val="false"/>
          </w:tcPr>
          <w:p>
            <w:pPr>
              <w:pStyle w:val="1083"/>
              <w:ind w:left="0"/>
              <w:jc w:val="center"/>
              <w:spacing w:line="240" w:lineRule="auto"/>
              <w:shd w:val="clear" w:color="auto" w:fill="auto"/>
              <w:rPr>
                <w:rFonts w:ascii="宋体" w:hAnsi="宋体" w:eastAsia="宋体" w:cs="宋体"/>
                <w:b/>
                <w:color w:val="000000"/>
                <w:sz w:val="18"/>
                <w:szCs w:val="18"/>
                <w:highlight w:val="none"/>
                <w:lang w:eastAsia="zh-CN"/>
              </w:rPr>
            </w:pPr>
            <w:r>
              <w:rPr>
                <w:rFonts w:hint="eastAsia" w:ascii="宋体" w:hAnsi="宋体" w:eastAsia="宋体" w:cs="宋体"/>
                <w:b/>
                <w:color w:val="000000"/>
                <w:sz w:val="18"/>
                <w:szCs w:val="18"/>
                <w:highlight w:val="none"/>
                <w:lang w:eastAsia="zh-CN"/>
              </w:rPr>
              <w:t xml:space="preserve">危害部位</w:t>
            </w:r>
            <w:r>
              <w:rPr>
                <w:rFonts w:ascii="宋体" w:hAnsi="宋体" w:eastAsia="宋体" w:cs="宋体"/>
                <w:b/>
                <w:color w:val="000000"/>
                <w:sz w:val="18"/>
                <w:szCs w:val="18"/>
                <w:highlight w:val="none"/>
                <w:lang w:eastAsia="zh-CN"/>
              </w:rPr>
            </w:r>
            <w:r/>
          </w:p>
        </w:tc>
        <w:tc>
          <w:tcPr>
            <w:shd w:val="clear" w:color="auto" w:fill="ffffff"/>
            <w:tcW w:w="1276" w:type="dxa"/>
            <w:vAlign w:val="center"/>
            <w:textDirection w:val="lrTb"/>
            <w:noWrap w:val="false"/>
          </w:tcPr>
          <w:p>
            <w:pPr>
              <w:pStyle w:val="1083"/>
              <w:ind w:left="0"/>
              <w:jc w:val="center"/>
              <w:spacing w:line="240" w:lineRule="auto"/>
              <w:shd w:val="clear" w:color="auto" w:fill="auto"/>
              <w:rPr>
                <w:rFonts w:ascii="宋体" w:hAnsi="宋体" w:eastAsia="宋体" w:cs="宋体"/>
                <w:b/>
                <w:color w:val="000000"/>
                <w:sz w:val="18"/>
                <w:szCs w:val="18"/>
                <w:highlight w:val="none"/>
                <w:lang w:eastAsia="zh-CN"/>
              </w:rPr>
            </w:pPr>
            <w:r>
              <w:rPr>
                <w:rFonts w:hint="eastAsia" w:ascii="宋体" w:hAnsi="宋体" w:eastAsia="宋体" w:cs="宋体"/>
                <w:b/>
                <w:color w:val="000000"/>
                <w:sz w:val="18"/>
                <w:szCs w:val="18"/>
                <w:highlight w:val="none"/>
                <w:lang w:eastAsia="zh-CN"/>
              </w:rPr>
              <w:t xml:space="preserve">主要危害时间</w:t>
            </w:r>
            <w:r>
              <w:rPr>
                <w:rFonts w:ascii="宋体" w:hAnsi="宋体" w:eastAsia="宋体" w:cs="宋体"/>
                <w:b/>
                <w:color w:val="000000"/>
                <w:sz w:val="18"/>
                <w:szCs w:val="18"/>
                <w:highlight w:val="none"/>
                <w:lang w:eastAsia="zh-CN"/>
              </w:rPr>
            </w:r>
            <w:r/>
          </w:p>
        </w:tc>
        <w:tc>
          <w:tcPr>
            <w:shd w:val="clear" w:color="auto" w:fill="ffffff"/>
            <w:tcW w:w="4688" w:type="dxa"/>
            <w:vAlign w:val="center"/>
            <w:textDirection w:val="lrTb"/>
            <w:noWrap w:val="false"/>
          </w:tcPr>
          <w:p>
            <w:pPr>
              <w:pStyle w:val="1083"/>
              <w:ind w:left="0"/>
              <w:jc w:val="center"/>
              <w:spacing w:line="280" w:lineRule="exact"/>
              <w:shd w:val="clear" w:color="auto" w:fill="auto"/>
              <w:rPr>
                <w:rFonts w:ascii="宋体" w:hAnsi="宋体" w:eastAsia="宋体" w:cs="宋体"/>
                <w:b/>
                <w:color w:val="000000"/>
                <w:sz w:val="18"/>
                <w:szCs w:val="18"/>
                <w:highlight w:val="none"/>
                <w:lang w:eastAsia="zh-CN"/>
              </w:rPr>
            </w:pPr>
            <w:r>
              <w:rPr>
                <w:rFonts w:hint="eastAsia" w:ascii="宋体" w:hAnsi="宋体" w:eastAsia="宋体" w:cs="宋体"/>
                <w:b/>
                <w:color w:val="000000"/>
                <w:sz w:val="18"/>
                <w:szCs w:val="18"/>
                <w:highlight w:val="none"/>
                <w:lang w:eastAsia="zh-CN"/>
              </w:rPr>
              <w:t xml:space="preserve">防治方法</w:t>
            </w:r>
            <w:r>
              <w:rPr>
                <w:rFonts w:ascii="宋体" w:hAnsi="宋体" w:eastAsia="宋体" w:cs="宋体"/>
                <w:b/>
                <w:color w:val="000000"/>
                <w:sz w:val="18"/>
                <w:szCs w:val="18"/>
                <w:highlight w:val="none"/>
                <w:lang w:eastAsia="zh-CN"/>
              </w:rPr>
            </w:r>
            <w:r/>
          </w:p>
        </w:tc>
      </w:tr>
      <w:tr>
        <w:trPr>
          <w:trHeight w:val="2687" w:hRule="exact"/>
        </w:trPr>
        <w:tc>
          <w:tcPr>
            <w:shd w:val="clear" w:color="auto" w:fill="ffffff"/>
            <w:tcW w:w="1013"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蚜虫</w:t>
            </w:r>
            <w:r>
              <w:rPr>
                <w:rFonts w:ascii="宋体" w:hAnsi="宋体" w:eastAsia="宋体" w:cs="宋体"/>
                <w:color w:val="000000"/>
                <w:sz w:val="18"/>
                <w:szCs w:val="18"/>
                <w:highlight w:val="none"/>
                <w:lang w:eastAsia="zh-CN"/>
              </w:rPr>
            </w:r>
            <w:r/>
          </w:p>
        </w:tc>
        <w:tc>
          <w:tcPr>
            <w:shd w:val="clear" w:color="auto" w:fill="ffffff"/>
            <w:tcW w:w="2163" w:type="dxa"/>
            <w:vAlign w:val="center"/>
            <w:textDirection w:val="lrTb"/>
            <w:noWrap w:val="false"/>
          </w:tcPr>
          <w:p>
            <w:pPr>
              <w:pStyle w:val="1083"/>
              <w:ind w:left="142" w:firstLine="23"/>
              <w:jc w:val="center"/>
              <w:spacing w:line="280" w:lineRule="exact"/>
              <w:shd w:val="clear" w:color="auto" w:fill="auto"/>
              <w:rPr>
                <w:rFonts w:ascii="宋体" w:hAnsi="宋体" w:eastAsia="宋体" w:cs="宋体"/>
                <w:i/>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月季长管蚜</w:t>
            </w:r>
            <w:r>
              <w:rPr>
                <w:rFonts w:hint="eastAsia" w:ascii="宋体" w:hAnsi="宋体" w:eastAsia="宋体" w:cs="宋体"/>
                <w:i/>
                <w:color w:val="000000"/>
                <w:sz w:val="18"/>
                <w:szCs w:val="18"/>
                <w:highlight w:val="none"/>
                <w:lang w:eastAsia="zh-CN"/>
              </w:rPr>
              <w:t xml:space="preserve">Macrosiphum</w:t>
            </w:r>
            <w:r>
              <w:rPr>
                <w:rFonts w:ascii="宋体" w:hAnsi="宋体" w:eastAsia="宋体" w:cs="宋体"/>
                <w:i/>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i/>
                <w:color w:val="000000"/>
                <w:sz w:val="18"/>
                <w:szCs w:val="18"/>
                <w:highlight w:val="none"/>
                <w:lang w:eastAsia="zh-CN"/>
              </w:rPr>
            </w:pPr>
            <w:r>
              <w:rPr>
                <w:rFonts w:hint="eastAsia" w:ascii="宋体" w:hAnsi="宋体" w:eastAsia="宋体" w:cs="宋体"/>
                <w:i/>
                <w:color w:val="000000"/>
                <w:sz w:val="18"/>
                <w:szCs w:val="18"/>
                <w:highlight w:val="none"/>
                <w:lang w:eastAsia="zh-CN"/>
              </w:rPr>
              <w:t xml:space="preserve">rosivorum</w:t>
            </w:r>
            <w:r>
              <w:rPr>
                <w:rFonts w:ascii="宋体" w:hAnsi="宋体" w:eastAsia="宋体" w:cs="宋体"/>
                <w:i/>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蔷薇长管蚜</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i/>
                <w:color w:val="000000"/>
                <w:sz w:val="18"/>
                <w:szCs w:val="18"/>
                <w:highlight w:val="none"/>
                <w:lang w:eastAsia="zh-CN"/>
              </w:rPr>
            </w:pPr>
            <w:r>
              <w:rPr>
                <w:rFonts w:hint="eastAsia" w:ascii="宋体" w:hAnsi="宋体" w:eastAsia="宋体" w:cs="宋体"/>
                <w:i/>
                <w:color w:val="000000"/>
                <w:sz w:val="18"/>
                <w:szCs w:val="18"/>
                <w:highlight w:val="none"/>
                <w:lang w:eastAsia="zh-CN"/>
              </w:rPr>
              <w:t xml:space="preserve">Macrosiphum</w:t>
            </w:r>
            <w:r>
              <w:rPr>
                <w:rFonts w:ascii="宋体" w:hAnsi="宋体" w:eastAsia="宋体" w:cs="宋体"/>
                <w:i/>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i/>
                <w:color w:val="000000"/>
                <w:sz w:val="18"/>
                <w:szCs w:val="18"/>
                <w:highlight w:val="none"/>
                <w:lang w:eastAsia="zh-CN"/>
              </w:rPr>
            </w:pPr>
            <w:r>
              <w:rPr>
                <w:rFonts w:hint="eastAsia" w:ascii="宋体" w:hAnsi="宋体" w:eastAsia="宋体" w:cs="宋体"/>
                <w:i/>
                <w:color w:val="000000"/>
                <w:sz w:val="18"/>
                <w:szCs w:val="18"/>
                <w:highlight w:val="none"/>
                <w:lang w:eastAsia="zh-CN"/>
              </w:rPr>
              <w:t xml:space="preserve">Rosaeacrosiphum</w:t>
            </w:r>
            <w:r>
              <w:rPr>
                <w:rFonts w:ascii="宋体" w:hAnsi="宋体" w:eastAsia="宋体" w:cs="宋体"/>
                <w:i/>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i/>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月季长尾蚜</w:t>
            </w:r>
            <w:r>
              <w:rPr>
                <w:rFonts w:hint="eastAsia" w:ascii="宋体" w:hAnsi="宋体" w:eastAsia="宋体" w:cs="宋体"/>
                <w:i/>
                <w:color w:val="000000"/>
                <w:sz w:val="18"/>
                <w:szCs w:val="18"/>
                <w:highlight w:val="none"/>
                <w:lang w:eastAsia="zh-CN"/>
              </w:rPr>
              <w:t xml:space="preserve">Longicaudus trihodus</w:t>
            </w:r>
            <w:r>
              <w:rPr>
                <w:rFonts w:ascii="宋体" w:hAnsi="宋体" w:eastAsia="宋体" w:cs="宋体"/>
                <w:i/>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桃蚜</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i/>
                <w:iCs/>
                <w:color w:val="000000"/>
                <w:sz w:val="18"/>
                <w:szCs w:val="18"/>
                <w:highlight w:val="none"/>
                <w:lang w:val="en-US" w:eastAsia="zh-CN" w:bidi="en-US"/>
              </w:rPr>
            </w:pPr>
            <w:r>
              <w:rPr>
                <w:rFonts w:hint="eastAsia" w:ascii="宋体" w:hAnsi="宋体" w:eastAsia="宋体" w:cs="宋体"/>
                <w:i/>
                <w:color w:val="000000"/>
                <w:sz w:val="18"/>
                <w:szCs w:val="18"/>
                <w:highlight w:val="none"/>
                <w:lang w:eastAsia="zh-CN"/>
              </w:rPr>
              <w:t xml:space="preserve">Myzus persicae</w:t>
            </w:r>
            <w:r>
              <w:rPr>
                <w:rFonts w:ascii="宋体" w:hAnsi="宋体" w:eastAsia="宋体" w:cs="宋体"/>
                <w:i/>
                <w:iCs/>
                <w:color w:val="000000"/>
                <w:sz w:val="18"/>
                <w:szCs w:val="18"/>
                <w:highlight w:val="none"/>
                <w:lang w:val="en-US" w:eastAsia="zh-CN" w:bidi="en-US"/>
              </w:rPr>
            </w:r>
            <w:r/>
          </w:p>
        </w:tc>
        <w:tc>
          <w:tcPr>
            <w:shd w:val="clear" w:color="auto" w:fill="ffffff"/>
            <w:tcW w:w="851" w:type="dxa"/>
            <w:vAlign w:val="center"/>
            <w:textDirection w:val="lrTb"/>
            <w:noWrap w:val="false"/>
          </w:tcPr>
          <w:p>
            <w:pPr>
              <w:pStyle w:val="1083"/>
              <w:ind w:left="0"/>
              <w:jc w:val="center"/>
              <w:spacing w:after="14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花蕾、芽、新梢和嫩叶。</w:t>
            </w:r>
            <w:r>
              <w:rPr>
                <w:rFonts w:ascii="宋体" w:hAnsi="宋体" w:eastAsia="宋体" w:cs="宋体"/>
                <w:color w:val="000000"/>
                <w:sz w:val="18"/>
                <w:szCs w:val="18"/>
                <w:highlight w:val="none"/>
                <w:lang w:eastAsia="zh-CN"/>
              </w:rPr>
            </w:r>
            <w:r/>
          </w:p>
        </w:tc>
        <w:tc>
          <w:tcPr>
            <w:shd w:val="clear" w:color="auto" w:fill="ffffff"/>
            <w:tcW w:w="1276" w:type="dxa"/>
            <w:vAlign w:val="center"/>
            <w:textDirection w:val="lrTb"/>
            <w:noWrap w:val="false"/>
          </w:tcPr>
          <w:p>
            <w:pPr>
              <w:pStyle w:val="1083"/>
              <w:ind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3月〜11月</w:t>
            </w:r>
            <w:r>
              <w:rPr>
                <w:rFonts w:ascii="宋体" w:hAnsi="宋体" w:eastAsia="宋体" w:cs="宋体"/>
                <w:color w:val="000000"/>
                <w:sz w:val="18"/>
                <w:szCs w:val="18"/>
                <w:highlight w:val="none"/>
                <w:lang w:eastAsia="zh-CN"/>
              </w:rPr>
            </w:r>
            <w:r/>
          </w:p>
        </w:tc>
        <w:tc>
          <w:tcPr>
            <w:shd w:val="clear" w:color="auto" w:fill="ffffff"/>
            <w:tcW w:w="4688" w:type="dxa"/>
            <w:vAlign w:val="center"/>
            <w:textDirection w:val="lrTb"/>
            <w:noWrap w:val="false"/>
          </w:tcPr>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冬季喷晒</w:t>
            </w:r>
            <w:r>
              <w:rPr>
                <w:rFonts w:hint="eastAsia" w:ascii="宋体" w:hAnsi="宋体" w:eastAsia="宋体" w:cs="宋体"/>
                <w:i/>
                <w:iCs/>
                <w:color w:val="000000"/>
                <w:sz w:val="18"/>
                <w:szCs w:val="18"/>
                <w:highlight w:val="none"/>
                <w:lang w:val="en-US" w:eastAsia="zh-CN" w:bidi="en-US"/>
              </w:rPr>
              <w:t xml:space="preserve">3</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i/>
                <w:iCs/>
                <w:color w:val="000000"/>
                <w:sz w:val="18"/>
                <w:szCs w:val="18"/>
                <w:highlight w:val="none"/>
                <w:lang w:val="en-US" w:eastAsia="zh-CN" w:bidi="en-US"/>
              </w:rPr>
              <w:t xml:space="preserve">5</w:t>
            </w:r>
            <w:r>
              <w:rPr>
                <w:rFonts w:hint="eastAsia" w:ascii="宋体" w:hAnsi="宋体" w:eastAsia="宋体" w:cs="宋体"/>
                <w:color w:val="000000"/>
                <w:sz w:val="18"/>
                <w:szCs w:val="18"/>
                <w:highlight w:val="none"/>
                <w:lang w:eastAsia="zh-CN"/>
              </w:rPr>
              <w:t xml:space="preserve">波美度石硫合剂，杀灭越冬卵；保护和释放天敌异色瓢虫、草蛉、食虫蝇等；使用黄板诱杀迁飞成虫;蚜虫发生期喷施10%吡虫啉可湿性粉剂2000倍液，</w:t>
            </w:r>
            <w:r>
              <w:rPr>
                <w:rFonts w:hint="eastAsia" w:ascii="宋体" w:hAnsi="宋体" w:eastAsia="宋体" w:cs="宋体"/>
                <w:color w:val="000000"/>
                <w:sz w:val="18"/>
                <w:szCs w:val="18"/>
                <w:highlight w:val="none"/>
                <w:lang w:val="en-US" w:eastAsia="zh-CN" w:bidi="en-US"/>
              </w:rPr>
              <w:t xml:space="preserve"> </w:t>
            </w:r>
            <w:r>
              <w:rPr>
                <w:rFonts w:hint="eastAsia" w:ascii="宋体" w:hAnsi="宋体" w:eastAsia="宋体" w:cs="宋体"/>
                <w:color w:val="000000"/>
                <w:sz w:val="18"/>
                <w:szCs w:val="18"/>
                <w:highlight w:val="none"/>
                <w:lang w:eastAsia="zh-CN"/>
              </w:rPr>
              <w:t xml:space="preserve">1%印楝素水剂800</w:t>
            </w:r>
            <w:r>
              <w:rPr>
                <w:rFonts w:hint="eastAsia" w:ascii="宋体" w:hAnsi="宋体" w:eastAsia="宋体" w:cs="宋体"/>
                <w:color w:val="000000"/>
                <w:sz w:val="18"/>
                <w:szCs w:val="18"/>
                <w:highlight w:val="none"/>
                <w:lang w:eastAsia="zh-CN"/>
              </w:rPr>
              <w:br w:type="textWrapping" w:clear="all"/>
            </w:r>
            <w:r>
              <w:rPr>
                <w:rFonts w:hint="eastAsia" w:ascii="宋体" w:hAnsi="宋体" w:eastAsia="宋体" w:cs="宋体"/>
                <w:color w:val="000000"/>
                <w:sz w:val="18"/>
                <w:szCs w:val="18"/>
                <w:highlight w:val="none"/>
                <w:lang w:eastAsia="zh-CN"/>
              </w:rPr>
              <w:t xml:space="preserve">倍液，</w:t>
            </w:r>
            <w:r>
              <w:rPr>
                <w:rFonts w:hint="eastAsia" w:ascii="宋体" w:hAnsi="宋体" w:eastAsia="宋体" w:cs="宋体"/>
                <w:i/>
                <w:iCs/>
                <w:color w:val="000000"/>
                <w:sz w:val="18"/>
                <w:szCs w:val="18"/>
                <w:highlight w:val="none"/>
                <w:lang w:eastAsia="zh-CN"/>
              </w:rPr>
              <w:t xml:space="preserve">1.2%苦.</w:t>
            </w:r>
            <w:r>
              <w:rPr>
                <w:rFonts w:hint="eastAsia" w:ascii="宋体" w:hAnsi="宋体" w:eastAsia="宋体" w:cs="宋体"/>
                <w:color w:val="000000"/>
                <w:sz w:val="18"/>
                <w:szCs w:val="18"/>
                <w:highlight w:val="none"/>
                <w:lang w:eastAsia="zh-CN"/>
              </w:rPr>
              <w:t xml:space="preserve">烟（苦参碱与烟碱复配 &gt; 乳油1000倍液，50%抗蚜威可湿性粉剂</w:t>
            </w:r>
            <w:r>
              <w:rPr>
                <w:rFonts w:hint="eastAsia" w:ascii="宋体" w:hAnsi="宋体" w:eastAsia="宋体" w:cs="宋体"/>
                <w:color w:val="000000"/>
                <w:sz w:val="18"/>
                <w:szCs w:val="18"/>
                <w:highlight w:val="none"/>
                <w:lang w:val="en-US" w:eastAsia="zh-CN" w:bidi="en-US"/>
              </w:rPr>
              <w:t xml:space="preserve">4000</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5000</w:t>
            </w:r>
            <w:r>
              <w:rPr>
                <w:rFonts w:hint="eastAsia" w:ascii="宋体" w:hAnsi="宋体" w:eastAsia="宋体" w:cs="宋体"/>
                <w:color w:val="000000"/>
                <w:sz w:val="18"/>
                <w:szCs w:val="18"/>
                <w:highlight w:val="none"/>
                <w:lang w:eastAsia="zh-CN"/>
              </w:rPr>
              <w:t xml:space="preserve">倍液，</w:t>
            </w:r>
            <w:r>
              <w:rPr>
                <w:rFonts w:hint="eastAsia" w:ascii="宋体" w:hAnsi="宋体" w:eastAsia="宋体" w:cs="宋体"/>
                <w:color w:val="000000"/>
                <w:sz w:val="18"/>
                <w:szCs w:val="18"/>
                <w:highlight w:val="none"/>
                <w:lang w:val="en-US" w:eastAsia="zh-CN" w:bidi="en-US"/>
              </w:rPr>
              <w:t xml:space="preserve">20%啶虫脒可溶</w:t>
            </w:r>
            <w:r>
              <w:rPr>
                <w:rFonts w:hint="eastAsia" w:ascii="宋体" w:hAnsi="宋体" w:eastAsia="宋体" w:cs="宋体"/>
                <w:color w:val="000000"/>
                <w:sz w:val="18"/>
                <w:szCs w:val="18"/>
                <w:highlight w:val="none"/>
                <w:lang w:eastAsia="zh-CN"/>
              </w:rPr>
              <w:t xml:space="preserve">粉剂3000〜4000倍液，注意轮换用药。</w:t>
            </w:r>
            <w:r>
              <w:rPr>
                <w:rFonts w:ascii="宋体" w:hAnsi="宋体" w:eastAsia="宋体" w:cs="宋体"/>
                <w:color w:val="000000"/>
                <w:sz w:val="18"/>
                <w:szCs w:val="18"/>
                <w:highlight w:val="none"/>
                <w:lang w:eastAsia="zh-CN"/>
              </w:rPr>
            </w:r>
            <w:r/>
          </w:p>
        </w:tc>
      </w:tr>
      <w:tr>
        <w:trPr>
          <w:trHeight w:val="1817" w:hRule="exact"/>
        </w:trPr>
        <w:tc>
          <w:tcPr>
            <w:shd w:val="clear" w:color="auto" w:fill="ffffff"/>
            <w:tcW w:w="1013"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白粉虱</w:t>
            </w:r>
            <w:r>
              <w:rPr>
                <w:rFonts w:ascii="宋体" w:hAnsi="宋体" w:eastAsia="宋体" w:cs="宋体"/>
                <w:color w:val="000000"/>
                <w:sz w:val="18"/>
                <w:szCs w:val="18"/>
                <w:highlight w:val="none"/>
                <w:lang w:eastAsia="zh-CN"/>
              </w:rPr>
            </w:r>
            <w:r/>
          </w:p>
        </w:tc>
        <w:tc>
          <w:tcPr>
            <w:shd w:val="clear" w:color="auto" w:fill="ffffff"/>
            <w:tcW w:w="2163" w:type="dxa"/>
            <w:vAlign w:val="center"/>
            <w:textDirection w:val="lrTb"/>
            <w:noWrap w:val="false"/>
          </w:tcPr>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温室白粉虱</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i/>
                <w:color w:val="000000"/>
                <w:sz w:val="18"/>
                <w:szCs w:val="18"/>
                <w:highlight w:val="none"/>
                <w:lang w:eastAsia="zh-CN"/>
              </w:rPr>
            </w:pPr>
            <w:r>
              <w:rPr>
                <w:rFonts w:hint="eastAsia" w:ascii="宋体" w:hAnsi="宋体" w:eastAsia="宋体" w:cs="宋体"/>
                <w:i/>
                <w:color w:val="000000"/>
                <w:sz w:val="18"/>
                <w:szCs w:val="18"/>
                <w:highlight w:val="none"/>
                <w:lang w:eastAsia="zh-CN"/>
              </w:rPr>
              <w:t xml:space="preserve">Trialeurodes</w:t>
            </w:r>
            <w:r>
              <w:rPr>
                <w:rFonts w:ascii="宋体" w:hAnsi="宋体" w:eastAsia="宋体" w:cs="宋体"/>
                <w:i/>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i/>
                <w:color w:val="000000"/>
                <w:sz w:val="18"/>
                <w:szCs w:val="18"/>
                <w:highlight w:val="none"/>
                <w:lang w:eastAsia="zh-CN"/>
              </w:rPr>
            </w:pPr>
            <w:r>
              <w:rPr>
                <w:rFonts w:hint="eastAsia" w:ascii="宋体" w:hAnsi="宋体" w:eastAsia="宋体" w:cs="宋体"/>
                <w:i/>
                <w:color w:val="000000"/>
                <w:sz w:val="18"/>
                <w:szCs w:val="18"/>
                <w:highlight w:val="none"/>
                <w:lang w:eastAsia="zh-CN"/>
              </w:rPr>
              <w:t xml:space="preserve">Vaporariorum</w:t>
            </w:r>
            <w:r>
              <w:rPr>
                <w:rFonts w:ascii="宋体" w:hAnsi="宋体" w:eastAsia="宋体" w:cs="宋体"/>
                <w:i/>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B型、Q型烟粉虱</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i/>
                <w:color w:val="000000"/>
                <w:sz w:val="18"/>
                <w:szCs w:val="18"/>
                <w:highlight w:val="none"/>
                <w:lang w:val="en-US" w:eastAsia="zh-CN"/>
              </w:rPr>
            </w:pPr>
            <w:r>
              <w:rPr>
                <w:rFonts w:hint="eastAsia" w:ascii="宋体" w:hAnsi="宋体" w:eastAsia="宋体" w:cs="宋体"/>
                <w:i/>
                <w:color w:val="000000"/>
                <w:sz w:val="18"/>
                <w:szCs w:val="18"/>
                <w:highlight w:val="none"/>
                <w:lang w:eastAsia="zh-CN"/>
              </w:rPr>
              <w:t xml:space="preserve">B or Q-biotype Bemisia tabaci</w:t>
            </w:r>
            <w:r>
              <w:rPr>
                <w:rFonts w:ascii="宋体" w:hAnsi="宋体" w:eastAsia="宋体" w:cs="宋体"/>
                <w:i/>
                <w:color w:val="000000"/>
                <w:sz w:val="18"/>
                <w:szCs w:val="18"/>
                <w:highlight w:val="none"/>
                <w:lang w:val="en-US" w:eastAsia="zh-CN"/>
              </w:rPr>
            </w:r>
            <w:r/>
          </w:p>
        </w:tc>
        <w:tc>
          <w:tcPr>
            <w:shd w:val="clear" w:color="auto" w:fill="ffffff"/>
            <w:tcW w:w="851" w:type="dxa"/>
            <w:vAlign w:val="center"/>
            <w:textDirection w:val="lrTb"/>
            <w:noWrap w:val="false"/>
          </w:tcPr>
          <w:p>
            <w:pPr>
              <w:pStyle w:val="1083"/>
              <w:ind w:left="0"/>
              <w:jc w:val="center"/>
              <w:spacing w:after="14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花蕾、芽、新梢和嫩叶。</w:t>
            </w:r>
            <w:r>
              <w:rPr>
                <w:rFonts w:ascii="宋体" w:hAnsi="宋体" w:eastAsia="宋体" w:cs="宋体"/>
                <w:color w:val="000000"/>
                <w:sz w:val="18"/>
                <w:szCs w:val="18"/>
                <w:highlight w:val="none"/>
                <w:lang w:eastAsia="zh-CN"/>
              </w:rPr>
            </w:r>
            <w:r/>
          </w:p>
        </w:tc>
        <w:tc>
          <w:tcPr>
            <w:shd w:val="clear" w:color="auto" w:fill="ffffff"/>
            <w:tcW w:w="1276" w:type="dxa"/>
            <w:vAlign w:val="center"/>
            <w:textDirection w:val="lrTb"/>
            <w:noWrap w:val="false"/>
          </w:tcPr>
          <w:p>
            <w:pPr>
              <w:pStyle w:val="1083"/>
              <w:ind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2月〜11月</w:t>
            </w:r>
            <w:r>
              <w:rPr>
                <w:rFonts w:ascii="宋体" w:hAnsi="宋体" w:eastAsia="宋体" w:cs="宋体"/>
                <w:color w:val="000000"/>
                <w:sz w:val="18"/>
                <w:szCs w:val="18"/>
                <w:highlight w:val="none"/>
                <w:lang w:eastAsia="zh-CN"/>
              </w:rPr>
            </w:r>
            <w:r/>
          </w:p>
        </w:tc>
        <w:tc>
          <w:tcPr>
            <w:shd w:val="clear" w:color="auto" w:fill="ffffff"/>
            <w:tcW w:w="4688" w:type="dxa"/>
            <w:vAlign w:val="center"/>
            <w:textDirection w:val="lrTb"/>
            <w:noWrap w:val="false"/>
          </w:tcPr>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冬季喷晒3〜5波美度石硫合剂：保护和释放天敌丽蚜小蜂、小花蝽、草蛉等；使用黄板诱杀迁飞成虫；粉虱发生期喷施25%噻虫嗪水分散粒剂</w:t>
            </w:r>
            <w:r>
              <w:rPr>
                <w:rFonts w:hint="eastAsia" w:ascii="宋体" w:hAnsi="宋体" w:eastAsia="宋体" w:cs="宋体"/>
                <w:color w:val="000000"/>
                <w:sz w:val="18"/>
                <w:szCs w:val="18"/>
                <w:highlight w:val="none"/>
                <w:lang w:val="en-US" w:eastAsia="zh-CN" w:bidi="en-US"/>
              </w:rPr>
              <w:t xml:space="preserve">2500</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5000</w:t>
            </w:r>
            <w:r>
              <w:rPr>
                <w:rFonts w:hint="eastAsia" w:ascii="宋体" w:hAnsi="宋体" w:eastAsia="宋体" w:cs="宋体"/>
                <w:color w:val="000000"/>
                <w:sz w:val="18"/>
                <w:szCs w:val="18"/>
                <w:highlight w:val="none"/>
                <w:lang w:eastAsia="zh-CN"/>
              </w:rPr>
              <w:t xml:space="preserve">倍液，20%吡虫啉可溶液剂2000〜3000倍液，10%联名菊酷乳油5000〜6000倍液，70%啶虫脒水分散粒剂3000〜5000倍液，注意轮换用药。</w:t>
            </w:r>
            <w:r>
              <w:rPr>
                <w:rFonts w:ascii="宋体" w:hAnsi="宋体" w:eastAsia="宋体" w:cs="宋体"/>
                <w:color w:val="000000"/>
                <w:sz w:val="18"/>
                <w:szCs w:val="18"/>
                <w:highlight w:val="none"/>
                <w:lang w:eastAsia="zh-CN"/>
              </w:rPr>
            </w:r>
            <w:r/>
          </w:p>
        </w:tc>
      </w:tr>
      <w:tr>
        <w:trPr>
          <w:trHeight w:val="1215" w:hRule="exact"/>
        </w:trPr>
        <w:tc>
          <w:tcPr>
            <w:shd w:val="clear" w:color="auto" w:fill="ffffff"/>
            <w:tcW w:w="1013"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蚧虫</w:t>
            </w:r>
            <w:r>
              <w:rPr>
                <w:rFonts w:ascii="宋体" w:hAnsi="宋体" w:eastAsia="宋体" w:cs="宋体"/>
                <w:color w:val="000000"/>
                <w:sz w:val="18"/>
                <w:szCs w:val="18"/>
                <w:highlight w:val="none"/>
                <w:lang w:eastAsia="zh-CN"/>
              </w:rPr>
            </w:r>
            <w:r/>
          </w:p>
        </w:tc>
        <w:tc>
          <w:tcPr>
            <w:shd w:val="clear" w:color="auto" w:fill="ffffff"/>
            <w:tcW w:w="2163" w:type="dxa"/>
            <w:vAlign w:val="center"/>
            <w:textDirection w:val="lrTb"/>
            <w:noWrap w:val="false"/>
          </w:tcPr>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月季白轮盾蚧</w:t>
            </w:r>
            <w:r>
              <w:rPr>
                <w:rFonts w:ascii="宋体" w:hAnsi="宋体" w:eastAsia="宋体" w:cs="宋体"/>
                <w:color w:val="000000"/>
                <w:sz w:val="18"/>
                <w:szCs w:val="18"/>
                <w:highlight w:val="none"/>
                <w:lang w:eastAsia="zh-CN"/>
              </w:rPr>
            </w:r>
            <w:r/>
          </w:p>
          <w:p>
            <w:pPr>
              <w:pStyle w:val="1083"/>
              <w:ind w:left="142" w:firstLine="23"/>
              <w:jc w:val="center"/>
              <w:spacing w:after="280" w:line="200" w:lineRule="exact"/>
              <w:shd w:val="clear" w:color="auto" w:fill="auto"/>
              <w:rPr>
                <w:rFonts w:ascii="宋体" w:hAnsi="宋体" w:eastAsia="宋体" w:cs="宋体"/>
                <w:color w:val="000000"/>
                <w:sz w:val="18"/>
                <w:szCs w:val="18"/>
                <w:highlight w:val="none"/>
                <w:lang w:val="en-US" w:eastAsia="zh-CN" w:bidi="en-US"/>
              </w:rPr>
            </w:pPr>
            <w:r>
              <w:rPr>
                <w:rFonts w:hint="eastAsia" w:ascii="宋体" w:hAnsi="宋体" w:eastAsia="宋体" w:cs="宋体"/>
                <w:i/>
                <w:iCs/>
                <w:color w:val="000000"/>
                <w:sz w:val="18"/>
                <w:szCs w:val="18"/>
                <w:highlight w:val="none"/>
                <w:lang w:val="en-US" w:eastAsia="en-US" w:bidi="en-US"/>
              </w:rPr>
              <w:t xml:space="preserve">Aulacaspis</w:t>
            </w:r>
            <w:r>
              <w:rPr>
                <w:rFonts w:hint="eastAsia" w:ascii="宋体" w:hAnsi="宋体" w:eastAsia="宋体" w:cs="宋体"/>
                <w:color w:val="000000"/>
                <w:sz w:val="18"/>
                <w:szCs w:val="18"/>
                <w:highlight w:val="none"/>
                <w:lang w:val="en-US" w:eastAsia="en-US" w:bidi="en-US"/>
              </w:rPr>
              <w:t xml:space="preserve"> </w:t>
            </w:r>
            <w:r>
              <w:rPr>
                <w:rFonts w:hint="eastAsia" w:ascii="宋体" w:hAnsi="宋体" w:eastAsia="宋体" w:cs="宋体"/>
                <w:color w:val="000000"/>
                <w:sz w:val="18"/>
                <w:szCs w:val="18"/>
                <w:highlight w:val="none"/>
                <w:lang w:val="en-US" w:eastAsia="zh-CN" w:bidi="en-US"/>
              </w:rPr>
              <w:t xml:space="preserve">rosarum</w:t>
            </w:r>
            <w:r>
              <w:rPr>
                <w:rFonts w:ascii="宋体" w:hAnsi="宋体" w:eastAsia="宋体" w:cs="宋体"/>
                <w:color w:val="000000"/>
                <w:sz w:val="18"/>
                <w:szCs w:val="18"/>
                <w:highlight w:val="none"/>
                <w:lang w:val="en-US" w:eastAsia="zh-CN" w:bidi="en-US"/>
              </w:rPr>
            </w:r>
            <w:r/>
          </w:p>
          <w:p>
            <w:pPr>
              <w:pStyle w:val="1083"/>
              <w:ind w:left="142" w:firstLine="23"/>
              <w:jc w:val="center"/>
              <w:spacing w:after="280" w:line="280" w:lineRule="exact"/>
              <w:shd w:val="clear" w:color="auto" w:fill="auto"/>
              <w:rPr>
                <w:rFonts w:ascii="宋体" w:hAnsi="宋体" w:eastAsia="宋体" w:cs="宋体"/>
                <w:i/>
                <w:iCs/>
                <w:color w:val="000000"/>
                <w:sz w:val="18"/>
                <w:szCs w:val="18"/>
                <w:highlight w:val="none"/>
                <w:lang w:val="en-US" w:eastAsia="zh-CN" w:bidi="en-US"/>
              </w:rPr>
            </w:pPr>
            <w:r>
              <w:rPr>
                <w:rFonts w:hint="eastAsia" w:ascii="宋体" w:hAnsi="宋体" w:eastAsia="宋体" w:cs="宋体"/>
                <w:color w:val="000000"/>
                <w:sz w:val="18"/>
                <w:szCs w:val="18"/>
                <w:highlight w:val="none"/>
                <w:lang w:val="en-US" w:eastAsia="zh-CN" w:bidi="en-US"/>
              </w:rPr>
              <w:t xml:space="preserve">蔷薇</w:t>
            </w:r>
            <w:r>
              <w:rPr>
                <w:rFonts w:hint="eastAsia" w:ascii="宋体" w:hAnsi="宋体" w:eastAsia="宋体" w:cs="宋体"/>
                <w:color w:val="000000"/>
                <w:sz w:val="18"/>
                <w:szCs w:val="18"/>
                <w:highlight w:val="none"/>
                <w:lang w:eastAsia="zh-CN"/>
              </w:rPr>
              <w:t xml:space="preserve">白轮盾蚧</w:t>
            </w:r>
            <w:r>
              <w:rPr>
                <w:rFonts w:hint="eastAsia" w:ascii="宋体" w:hAnsi="宋体" w:eastAsia="宋体" w:cs="宋体"/>
                <w:i/>
                <w:iCs/>
                <w:color w:val="000000"/>
                <w:sz w:val="18"/>
                <w:szCs w:val="18"/>
                <w:highlight w:val="none"/>
                <w:lang w:val="en-US" w:eastAsia="en-US" w:bidi="en-US"/>
              </w:rPr>
              <w:t xml:space="preserve">Au</w:t>
            </w:r>
            <w:r>
              <w:rPr>
                <w:rFonts w:hint="eastAsia" w:ascii="宋体" w:hAnsi="宋体" w:eastAsia="宋体" w:cs="宋体"/>
                <w:i/>
                <w:iCs/>
                <w:color w:val="000000"/>
                <w:sz w:val="18"/>
                <w:szCs w:val="18"/>
                <w:highlight w:val="none"/>
                <w:lang w:val="en-US" w:eastAsia="zh-CN" w:bidi="en-US"/>
              </w:rPr>
              <w:t xml:space="preserve">l</w:t>
            </w:r>
            <w:r>
              <w:rPr>
                <w:rFonts w:hint="eastAsia" w:ascii="宋体" w:hAnsi="宋体" w:eastAsia="宋体" w:cs="宋体"/>
                <w:i/>
                <w:iCs/>
                <w:color w:val="000000"/>
                <w:sz w:val="18"/>
                <w:szCs w:val="18"/>
                <w:highlight w:val="none"/>
                <w:lang w:val="en-US" w:eastAsia="en-US" w:bidi="en-US"/>
              </w:rPr>
              <w:t xml:space="preserve">acaspis</w:t>
            </w:r>
            <w:r>
              <w:rPr>
                <w:rFonts w:ascii="宋体" w:hAnsi="宋体" w:eastAsia="宋体" w:cs="宋体"/>
                <w:i/>
                <w:iCs/>
                <w:color w:val="000000"/>
                <w:sz w:val="18"/>
                <w:szCs w:val="18"/>
                <w:highlight w:val="none"/>
                <w:lang w:val="en-US" w:eastAsia="zh-CN" w:bidi="en-US"/>
              </w:rPr>
            </w:r>
            <w:r/>
          </w:p>
          <w:p>
            <w:pPr>
              <w:pStyle w:val="1083"/>
              <w:ind w:left="142" w:firstLine="23"/>
              <w:jc w:val="center"/>
              <w:spacing w:after="28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en-US" w:bidi="en-US"/>
              </w:rPr>
              <w:t xml:space="preserve">rosae</w:t>
            </w:r>
            <w:r>
              <w:rPr>
                <w:rFonts w:ascii="宋体" w:hAnsi="宋体" w:eastAsia="宋体" w:cs="宋体"/>
                <w:color w:val="000000"/>
                <w:sz w:val="18"/>
                <w:szCs w:val="18"/>
                <w:highlight w:val="none"/>
                <w:lang w:eastAsia="zh-CN"/>
              </w:rPr>
            </w:r>
            <w:r/>
          </w:p>
        </w:tc>
        <w:tc>
          <w:tcPr>
            <w:shd w:val="clear" w:color="auto" w:fill="ffffff"/>
            <w:tcW w:w="851" w:type="dxa"/>
            <w:vAlign w:val="center"/>
            <w:textDirection w:val="lrTb"/>
            <w:noWrap w:val="false"/>
          </w:tcPr>
          <w:p>
            <w:pPr>
              <w:pStyle w:val="1083"/>
              <w:ind w:left="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枝条</w:t>
            </w:r>
            <w:r>
              <w:rPr>
                <w:rFonts w:ascii="宋体" w:hAnsi="宋体" w:eastAsia="宋体" w:cs="宋体"/>
                <w:color w:val="000000"/>
                <w:sz w:val="18"/>
                <w:szCs w:val="18"/>
                <w:highlight w:val="none"/>
                <w:lang w:eastAsia="zh-CN"/>
              </w:rPr>
            </w:r>
            <w:r/>
          </w:p>
        </w:tc>
        <w:tc>
          <w:tcPr>
            <w:shd w:val="clear" w:color="auto" w:fill="ffffff"/>
            <w:tcW w:w="1276" w:type="dxa"/>
            <w:vAlign w:val="center"/>
            <w:textDirection w:val="lrTb"/>
            <w:noWrap w:val="false"/>
          </w:tcPr>
          <w:p>
            <w:pPr>
              <w:pStyle w:val="1083"/>
              <w:ind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3月〜10月</w:t>
            </w:r>
            <w:r>
              <w:rPr>
                <w:rFonts w:ascii="宋体" w:hAnsi="宋体" w:eastAsia="宋体" w:cs="宋体"/>
                <w:color w:val="000000"/>
                <w:sz w:val="18"/>
                <w:szCs w:val="18"/>
                <w:highlight w:val="none"/>
                <w:lang w:eastAsia="zh-CN"/>
              </w:rPr>
            </w:r>
            <w:r/>
          </w:p>
        </w:tc>
        <w:tc>
          <w:tcPr>
            <w:shd w:val="clear" w:color="auto" w:fill="ffffff"/>
            <w:tcW w:w="4688" w:type="dxa"/>
            <w:vAlign w:val="center"/>
            <w:textDirection w:val="lrTb"/>
            <w:noWrap w:val="false"/>
          </w:tcPr>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加强养护管理，及时剪除带虫枝；冬季喷晒3〜5博美度石硫合剂；若虫孵化期及时喷施95%蚧螨灵（机油）乳剂400倍液， 25%噻虫嗪水分散粒剂</w:t>
            </w:r>
            <w:r>
              <w:rPr>
                <w:rFonts w:hint="eastAsia" w:ascii="宋体" w:hAnsi="宋体" w:eastAsia="宋体" w:cs="宋体"/>
                <w:color w:val="000000"/>
                <w:sz w:val="18"/>
                <w:szCs w:val="18"/>
                <w:highlight w:val="none"/>
                <w:lang w:val="en-US" w:eastAsia="zh-CN" w:bidi="en-US"/>
              </w:rPr>
              <w:t xml:space="preserve">3000</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4000</w:t>
            </w:r>
            <w:r>
              <w:rPr>
                <w:rFonts w:hint="eastAsia" w:ascii="宋体" w:hAnsi="宋体" w:eastAsia="宋体" w:cs="宋体"/>
                <w:color w:val="000000"/>
                <w:sz w:val="18"/>
                <w:szCs w:val="18"/>
                <w:highlight w:val="none"/>
                <w:lang w:eastAsia="zh-CN"/>
              </w:rPr>
              <w:t xml:space="preserve">倍液，40%杀扑磷</w:t>
            </w:r>
            <w:r>
              <w:rPr>
                <w:rFonts w:hint="eastAsia" w:ascii="宋体" w:hAnsi="宋体" w:eastAsia="宋体" w:cs="宋体"/>
                <w:color w:val="000000"/>
                <w:sz w:val="18"/>
                <w:szCs w:val="18"/>
                <w:highlight w:val="none"/>
                <w:lang w:val="en-US" w:eastAsia="zh-CN" w:bidi="en-US"/>
              </w:rPr>
              <w:t xml:space="preserve">1500</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2000</w:t>
            </w:r>
            <w:r>
              <w:rPr>
                <w:rFonts w:hint="eastAsia" w:ascii="宋体" w:hAnsi="宋体" w:eastAsia="宋体" w:cs="宋体"/>
                <w:color w:val="000000"/>
                <w:sz w:val="18"/>
                <w:szCs w:val="18"/>
                <w:highlight w:val="none"/>
                <w:lang w:eastAsia="zh-CN"/>
              </w:rPr>
              <w:t xml:space="preserve">倍液等，注意轮换用药。</w:t>
            </w:r>
            <w:r>
              <w:rPr>
                <w:rFonts w:ascii="宋体" w:hAnsi="宋体" w:eastAsia="宋体" w:cs="宋体"/>
                <w:color w:val="000000"/>
                <w:sz w:val="18"/>
                <w:szCs w:val="18"/>
                <w:highlight w:val="none"/>
                <w:lang w:eastAsia="zh-CN"/>
              </w:rPr>
            </w:r>
            <w:r/>
          </w:p>
        </w:tc>
      </w:tr>
      <w:tr>
        <w:trPr>
          <w:trHeight w:val="1298" w:hRule="exact"/>
        </w:trPr>
        <w:tc>
          <w:tcPr>
            <w:shd w:val="clear" w:color="auto" w:fill="ffffff"/>
            <w:tcW w:w="1013"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叶蝉</w:t>
            </w:r>
            <w:r>
              <w:rPr>
                <w:rFonts w:ascii="宋体" w:hAnsi="宋体" w:eastAsia="宋体" w:cs="宋体"/>
                <w:color w:val="000000"/>
                <w:sz w:val="18"/>
                <w:szCs w:val="18"/>
                <w:highlight w:val="none"/>
                <w:lang w:eastAsia="zh-CN"/>
              </w:rPr>
            </w:r>
            <w:r/>
          </w:p>
        </w:tc>
        <w:tc>
          <w:tcPr>
            <w:shd w:val="clear" w:color="auto" w:fill="ffffff"/>
            <w:tcW w:w="2163" w:type="dxa"/>
            <w:vAlign w:val="center"/>
            <w:textDirection w:val="lrTb"/>
            <w:noWrap w:val="false"/>
          </w:tcPr>
          <w:p>
            <w:pPr>
              <w:pStyle w:val="1083"/>
              <w:ind w:left="142" w:firstLine="2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小绿叶蝉</w:t>
            </w:r>
            <w:r>
              <w:rPr>
                <w:rFonts w:ascii="宋体" w:hAnsi="宋体" w:eastAsia="宋体" w:cs="宋体"/>
                <w:color w:val="000000"/>
                <w:sz w:val="18"/>
                <w:szCs w:val="18"/>
                <w:highlight w:val="none"/>
                <w:lang w:eastAsia="zh-CN"/>
              </w:rPr>
            </w:r>
            <w:r/>
          </w:p>
          <w:p>
            <w:pPr>
              <w:pStyle w:val="1083"/>
              <w:ind w:left="142" w:firstLine="23"/>
              <w:jc w:val="center"/>
              <w:spacing w:line="240" w:lineRule="auto"/>
              <w:shd w:val="clear" w:color="auto" w:fill="auto"/>
              <w:rPr>
                <w:rFonts w:ascii="宋体" w:hAnsi="宋体" w:eastAsia="宋体" w:cs="宋体"/>
                <w:i/>
                <w:color w:val="000000"/>
                <w:sz w:val="18"/>
                <w:szCs w:val="18"/>
                <w:highlight w:val="none"/>
                <w:lang w:eastAsia="zh-CN"/>
              </w:rPr>
            </w:pPr>
            <w:r>
              <w:rPr>
                <w:rFonts w:hint="eastAsia" w:ascii="宋体" w:hAnsi="宋体" w:eastAsia="宋体" w:cs="宋体"/>
                <w:i/>
                <w:color w:val="000000"/>
                <w:sz w:val="18"/>
                <w:szCs w:val="18"/>
                <w:highlight w:val="none"/>
                <w:lang w:eastAsia="zh-CN"/>
              </w:rPr>
              <w:t xml:space="preserve">Empoasca flavescens</w:t>
            </w:r>
            <w:r>
              <w:rPr>
                <w:rFonts w:ascii="宋体" w:hAnsi="宋体" w:eastAsia="宋体" w:cs="宋体"/>
                <w:i/>
                <w:color w:val="000000"/>
                <w:sz w:val="18"/>
                <w:szCs w:val="18"/>
                <w:highlight w:val="none"/>
                <w:lang w:eastAsia="zh-CN"/>
              </w:rPr>
            </w:r>
            <w:r/>
          </w:p>
          <w:p>
            <w:pPr>
              <w:pStyle w:val="1083"/>
              <w:ind w:firstLine="20"/>
              <w:jc w:val="center"/>
              <w:spacing w:after="740" w:line="240" w:lineRule="auto"/>
              <w:shd w:val="clear" w:color="auto" w:fill="auto"/>
              <w:rPr>
                <w:rFonts w:ascii="宋体" w:hAnsi="宋体" w:eastAsia="宋体" w:cs="宋体"/>
                <w:i/>
                <w:color w:val="000000"/>
                <w:sz w:val="18"/>
                <w:szCs w:val="18"/>
                <w:highlight w:val="none"/>
                <w:lang w:val="en-US" w:eastAsia="zh-CN" w:bidi="en-US"/>
              </w:rPr>
            </w:pPr>
            <w:r>
              <w:rPr>
                <w:rFonts w:hint="eastAsia" w:ascii="宋体" w:hAnsi="宋体" w:eastAsia="宋体" w:cs="宋体"/>
                <w:color w:val="000000"/>
                <w:sz w:val="18"/>
                <w:szCs w:val="18"/>
                <w:highlight w:val="none"/>
                <w:lang w:eastAsia="zh-CN"/>
              </w:rPr>
              <w:t xml:space="preserve">二点叶</w:t>
            </w:r>
            <w:r>
              <w:rPr>
                <w:rFonts w:hint="eastAsia" w:ascii="宋体" w:hAnsi="宋体" w:eastAsia="宋体" w:cs="宋体"/>
                <w:color w:val="000000"/>
                <w:sz w:val="18"/>
                <w:szCs w:val="18"/>
                <w:highlight w:val="none"/>
                <w:lang w:val="en-US" w:eastAsia="zh-CN" w:bidi="en-US"/>
              </w:rPr>
              <w:t xml:space="preserve">蝉</w:t>
            </w:r>
            <w:r>
              <w:rPr>
                <w:rFonts w:hint="eastAsia" w:ascii="宋体" w:hAnsi="宋体" w:eastAsia="宋体" w:cs="宋体"/>
                <w:i/>
                <w:color w:val="000000"/>
                <w:sz w:val="18"/>
                <w:szCs w:val="18"/>
                <w:highlight w:val="none"/>
                <w:lang w:val="en-US" w:eastAsia="zh-CN" w:bidi="en-US"/>
              </w:rPr>
              <w:t xml:space="preserve">Erythroneura apicalis</w:t>
            </w:r>
            <w:r>
              <w:rPr>
                <w:rFonts w:ascii="宋体" w:hAnsi="宋体" w:eastAsia="宋体" w:cs="宋体"/>
                <w:i/>
                <w:color w:val="000000"/>
                <w:sz w:val="18"/>
                <w:szCs w:val="18"/>
                <w:highlight w:val="none"/>
                <w:lang w:val="en-US" w:eastAsia="zh-CN" w:bidi="en-US"/>
              </w:rPr>
            </w:r>
            <w:r/>
          </w:p>
          <w:p>
            <w:pPr>
              <w:pStyle w:val="1083"/>
              <w:ind w:firstLine="20"/>
              <w:jc w:val="center"/>
              <w:spacing w:after="740" w:line="240" w:lineRule="auto"/>
              <w:shd w:val="clear" w:color="auto" w:fill="auto"/>
              <w:rPr>
                <w:rFonts w:ascii="宋体" w:hAnsi="宋体" w:eastAsia="宋体" w:cs="宋体"/>
                <w:color w:val="000000"/>
                <w:sz w:val="18"/>
                <w:szCs w:val="18"/>
                <w:highlight w:val="none"/>
                <w:lang w:eastAsia="zh-CN"/>
              </w:rPr>
            </w:pPr>
            <w:r>
              <w:rPr>
                <w:rFonts w:ascii="宋体" w:hAnsi="宋体" w:eastAsia="宋体" w:cs="宋体"/>
                <w:color w:val="000000"/>
                <w:sz w:val="18"/>
                <w:szCs w:val="18"/>
                <w:highlight w:val="none"/>
                <w:lang w:eastAsia="zh-CN"/>
              </w:rPr>
            </w:r>
            <w:r/>
          </w:p>
          <w:p>
            <w:pPr>
              <w:pStyle w:val="1083"/>
              <w:ind w:firstLine="20"/>
              <w:jc w:val="center"/>
              <w:spacing w:after="38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en-US" w:bidi="en-US"/>
              </w:rPr>
              <w:t xml:space="preserve">Eryiiwoneura apicalis</w:t>
            </w:r>
            <w:r>
              <w:rPr>
                <w:rFonts w:ascii="宋体" w:hAnsi="宋体" w:eastAsia="宋体" w:cs="宋体"/>
                <w:color w:val="000000"/>
                <w:sz w:val="18"/>
                <w:szCs w:val="18"/>
                <w:highlight w:val="none"/>
                <w:lang w:eastAsia="zh-CN"/>
              </w:rPr>
            </w:r>
            <w:r/>
          </w:p>
        </w:tc>
        <w:tc>
          <w:tcPr>
            <w:shd w:val="clear" w:color="auto" w:fill="ffffff"/>
            <w:tcW w:w="851" w:type="dxa"/>
            <w:vAlign w:val="center"/>
            <w:textDirection w:val="lrTb"/>
            <w:noWrap w:val="false"/>
          </w:tcPr>
          <w:p>
            <w:pPr>
              <w:pStyle w:val="1083"/>
              <w:ind w:left="0"/>
              <w:jc w:val="center"/>
              <w:spacing w:after="16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叶片，嫩</w:t>
            </w:r>
            <w:r>
              <w:rPr>
                <w:rFonts w:ascii="宋体" w:hAnsi="宋体" w:eastAsia="宋体" w:cs="宋体"/>
                <w:color w:val="000000"/>
                <w:sz w:val="18"/>
                <w:szCs w:val="18"/>
                <w:highlight w:val="none"/>
                <w:lang w:eastAsia="zh-CN"/>
              </w:rPr>
            </w:r>
            <w:r/>
          </w:p>
          <w:p>
            <w:pPr>
              <w:pStyle w:val="1083"/>
              <w:ind w:left="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枝。</w:t>
            </w:r>
            <w:r>
              <w:rPr>
                <w:rFonts w:ascii="宋体" w:hAnsi="宋体" w:eastAsia="宋体" w:cs="宋体"/>
                <w:color w:val="000000"/>
                <w:sz w:val="18"/>
                <w:szCs w:val="18"/>
                <w:highlight w:val="none"/>
                <w:lang w:eastAsia="zh-CN"/>
              </w:rPr>
            </w:r>
            <w:r/>
          </w:p>
        </w:tc>
        <w:tc>
          <w:tcPr>
            <w:shd w:val="clear" w:color="auto" w:fill="ffffff"/>
            <w:tcW w:w="1276" w:type="dxa"/>
            <w:vAlign w:val="center"/>
            <w:textDirection w:val="lrTb"/>
            <w:noWrap w:val="false"/>
          </w:tcPr>
          <w:p>
            <w:pPr>
              <w:pStyle w:val="1083"/>
              <w:ind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3月〜10月</w:t>
            </w:r>
            <w:r>
              <w:rPr>
                <w:rFonts w:ascii="宋体" w:hAnsi="宋体" w:eastAsia="宋体" w:cs="宋体"/>
                <w:color w:val="000000"/>
                <w:sz w:val="18"/>
                <w:szCs w:val="18"/>
                <w:highlight w:val="none"/>
                <w:lang w:eastAsia="zh-CN"/>
              </w:rPr>
            </w:r>
            <w:r/>
          </w:p>
        </w:tc>
        <w:tc>
          <w:tcPr>
            <w:shd w:val="clear" w:color="auto" w:fill="ffffff"/>
            <w:tcW w:w="4688" w:type="dxa"/>
            <w:vAlign w:val="center"/>
            <w:textDirection w:val="lrTb"/>
            <w:noWrap w:val="false"/>
          </w:tcPr>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冬季清除杂草及枯枝落叶，消灭越冬成虫；虫害发生初期喷施25%噻虫嗪可湿性粉剂1000倍液，25%噻虫嗪水分散粒剂5000 </w:t>
            </w:r>
            <w:r>
              <w:rPr>
                <w:rFonts w:hint="eastAsia" w:ascii="宋体" w:hAnsi="宋体" w:eastAsia="宋体" w:cs="宋体"/>
                <w:color w:val="000000"/>
                <w:sz w:val="18"/>
                <w:szCs w:val="18"/>
                <w:highlight w:val="none"/>
                <w:lang w:val="en-US" w:eastAsia="zh-CN" w:bidi="en-US"/>
              </w:rPr>
              <w:t xml:space="preserve">倍液，</w:t>
            </w:r>
            <w:r>
              <w:rPr>
                <w:rFonts w:hint="eastAsia" w:ascii="宋体" w:hAnsi="宋体" w:eastAsia="宋体" w:cs="宋体"/>
                <w:color w:val="000000"/>
                <w:sz w:val="18"/>
                <w:szCs w:val="18"/>
                <w:highlight w:val="none"/>
                <w:lang w:eastAsia="zh-CN"/>
              </w:rPr>
              <w:t xml:space="preserve">24</w:t>
            </w:r>
            <w:r>
              <w:rPr>
                <w:rFonts w:hint="eastAsia" w:ascii="宋体" w:hAnsi="宋体" w:eastAsia="宋体" w:cs="宋体"/>
                <w:color w:val="000000"/>
                <w:sz w:val="18"/>
                <w:szCs w:val="18"/>
                <w:highlight w:val="none"/>
                <w:lang w:val="en-US" w:eastAsia="zh-CN" w:bidi="en-US"/>
              </w:rPr>
              <w:t xml:space="preserve">%</w:t>
            </w:r>
            <w:r>
              <w:rPr>
                <w:rFonts w:hint="eastAsia" w:ascii="宋体" w:hAnsi="宋体" w:eastAsia="宋体" w:cs="宋体"/>
                <w:color w:val="000000"/>
                <w:sz w:val="18"/>
                <w:szCs w:val="18"/>
                <w:highlight w:val="none"/>
                <w:lang w:eastAsia="zh-CN"/>
              </w:rPr>
              <w:t xml:space="preserve">虫螨腈悬浮剂</w:t>
            </w:r>
            <w:r>
              <w:rPr>
                <w:rFonts w:hint="eastAsia" w:ascii="宋体" w:hAnsi="宋体" w:eastAsia="宋体" w:cs="宋体"/>
                <w:color w:val="000000"/>
                <w:sz w:val="18"/>
                <w:szCs w:val="18"/>
                <w:highlight w:val="none"/>
                <w:lang w:val="en-US" w:eastAsia="zh-CN" w:bidi="en-US"/>
              </w:rPr>
              <w:t xml:space="preserve">2000</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2500倍液，</w:t>
            </w:r>
            <w:r>
              <w:rPr>
                <w:rFonts w:hint="eastAsia" w:ascii="宋体" w:hAnsi="宋体" w:eastAsia="宋体" w:cs="宋体"/>
                <w:color w:val="000000"/>
                <w:sz w:val="18"/>
                <w:szCs w:val="18"/>
                <w:highlight w:val="none"/>
                <w:lang w:eastAsia="zh-CN"/>
              </w:rPr>
              <w:t xml:space="preserve">24%灭多威水溶性液剂1500〜2000倍液，注意轮换用药。</w:t>
            </w:r>
            <w:r>
              <w:rPr>
                <w:rFonts w:ascii="宋体" w:hAnsi="宋体" w:eastAsia="宋体" w:cs="宋体"/>
                <w:color w:val="000000"/>
                <w:sz w:val="18"/>
                <w:szCs w:val="18"/>
                <w:highlight w:val="none"/>
                <w:lang w:eastAsia="zh-CN"/>
              </w:rPr>
            </w:r>
            <w:r/>
          </w:p>
        </w:tc>
      </w:tr>
      <w:tr>
        <w:trPr>
          <w:trHeight w:val="1728" w:hRule="exact"/>
        </w:trPr>
        <w:tc>
          <w:tcPr>
            <w:shd w:val="clear" w:color="auto" w:fill="ffffff"/>
            <w:tcW w:w="1013"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蓟马</w:t>
            </w:r>
            <w:r>
              <w:rPr>
                <w:rFonts w:ascii="宋体" w:hAnsi="宋体" w:eastAsia="宋体" w:cs="宋体"/>
                <w:color w:val="000000"/>
                <w:sz w:val="18"/>
                <w:szCs w:val="18"/>
                <w:highlight w:val="none"/>
                <w:lang w:eastAsia="zh-CN"/>
              </w:rPr>
            </w:r>
            <w:r/>
          </w:p>
        </w:tc>
        <w:tc>
          <w:tcPr>
            <w:shd w:val="clear" w:color="auto" w:fill="ffffff"/>
            <w:tcW w:w="2163" w:type="dxa"/>
            <w:vAlign w:val="center"/>
            <w:textDirection w:val="lrTb"/>
            <w:noWrap w:val="false"/>
          </w:tcPr>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西花蓟马</w:t>
            </w:r>
            <w:r>
              <w:rPr>
                <w:rFonts w:hint="eastAsia" w:ascii="宋体" w:hAnsi="宋体" w:eastAsia="宋体" w:cs="宋体"/>
                <w:i/>
                <w:iCs/>
                <w:color w:val="000000"/>
                <w:sz w:val="18"/>
                <w:szCs w:val="18"/>
                <w:highlight w:val="none"/>
                <w:lang w:val="en-US" w:eastAsia="en-US" w:bidi="en-US"/>
              </w:rPr>
              <w:t xml:space="preserve">Frankliniella</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zh-CN" w:bidi="en-US"/>
              </w:rPr>
              <w:t xml:space="preserve">o</w:t>
            </w:r>
            <w:r>
              <w:rPr>
                <w:rFonts w:hint="eastAsia" w:ascii="宋体" w:hAnsi="宋体" w:eastAsia="宋体" w:cs="宋体"/>
                <w:i/>
                <w:iCs/>
                <w:color w:val="000000"/>
                <w:sz w:val="18"/>
                <w:szCs w:val="18"/>
                <w:highlight w:val="none"/>
                <w:lang w:val="en-US" w:eastAsia="en-US" w:bidi="en-US"/>
              </w:rPr>
              <w:t xml:space="preserve">ccidentalis</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花蓟马</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en-US" w:bidi="en-US"/>
              </w:rPr>
              <w:t xml:space="preserve">Frank</w:t>
            </w:r>
            <w:r>
              <w:rPr>
                <w:rFonts w:hint="eastAsia" w:ascii="宋体" w:hAnsi="宋体" w:eastAsia="宋体" w:cs="宋体"/>
                <w:i/>
                <w:iCs/>
                <w:color w:val="000000"/>
                <w:sz w:val="18"/>
                <w:szCs w:val="18"/>
                <w:highlight w:val="none"/>
                <w:lang w:val="en-US" w:eastAsia="zh-CN" w:bidi="en-US"/>
              </w:rPr>
              <w:t xml:space="preserve">l</w:t>
            </w:r>
            <w:r>
              <w:rPr>
                <w:rFonts w:hint="eastAsia" w:ascii="宋体" w:hAnsi="宋体" w:eastAsia="宋体" w:cs="宋体"/>
                <w:i/>
                <w:iCs/>
                <w:color w:val="000000"/>
                <w:sz w:val="18"/>
                <w:szCs w:val="18"/>
                <w:highlight w:val="none"/>
                <w:lang w:val="en-US" w:eastAsia="en-US" w:bidi="en-US"/>
              </w:rPr>
              <w:t xml:space="preserve">iniella intonsa</w:t>
            </w:r>
            <w:r>
              <w:rPr>
                <w:rFonts w:ascii="宋体" w:hAnsi="宋体" w:eastAsia="宋体" w:cs="宋体"/>
                <w:color w:val="000000"/>
                <w:sz w:val="18"/>
                <w:szCs w:val="18"/>
                <w:highlight w:val="none"/>
                <w:lang w:eastAsia="zh-CN"/>
              </w:rPr>
            </w:r>
            <w:r/>
          </w:p>
        </w:tc>
        <w:tc>
          <w:tcPr>
            <w:shd w:val="clear" w:color="auto" w:fill="ffffff"/>
            <w:tcW w:w="851" w:type="dxa"/>
            <w:vAlign w:val="center"/>
            <w:textDirection w:val="lrTb"/>
            <w:noWrap w:val="false"/>
          </w:tcPr>
          <w:p>
            <w:pPr>
              <w:pStyle w:val="1083"/>
              <w:ind w:left="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花</w:t>
            </w:r>
            <w:r>
              <w:rPr>
                <w:rFonts w:ascii="宋体" w:hAnsi="宋体" w:eastAsia="宋体" w:cs="宋体"/>
                <w:color w:val="000000"/>
                <w:sz w:val="18"/>
                <w:szCs w:val="18"/>
                <w:highlight w:val="none"/>
                <w:lang w:eastAsia="zh-CN"/>
              </w:rPr>
            </w:r>
            <w:r/>
          </w:p>
        </w:tc>
        <w:tc>
          <w:tcPr>
            <w:shd w:val="clear" w:color="auto" w:fill="ffffff"/>
            <w:tcW w:w="1276" w:type="dxa"/>
            <w:vAlign w:val="center"/>
            <w:textDirection w:val="lrTb"/>
            <w:noWrap w:val="false"/>
          </w:tcPr>
          <w:p>
            <w:pPr>
              <w:pStyle w:val="1083"/>
              <w:ind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3月〜</w:t>
            </w:r>
            <w:r>
              <w:rPr>
                <w:rFonts w:hint="eastAsia" w:ascii="宋体" w:hAnsi="宋体" w:eastAsia="宋体" w:cs="宋体"/>
                <w:color w:val="000000"/>
                <w:sz w:val="18"/>
                <w:szCs w:val="18"/>
                <w:highlight w:val="none"/>
                <w:lang w:val="en-US" w:eastAsia="zh-CN" w:bidi="en-US"/>
              </w:rPr>
              <w:t xml:space="preserve">11</w:t>
            </w:r>
            <w:r>
              <w:rPr>
                <w:rFonts w:hint="eastAsia" w:ascii="宋体" w:hAnsi="宋体" w:eastAsia="宋体" w:cs="宋体"/>
                <w:color w:val="000000"/>
                <w:sz w:val="18"/>
                <w:szCs w:val="18"/>
                <w:highlight w:val="none"/>
                <w:lang w:eastAsia="zh-CN"/>
              </w:rPr>
              <w:t xml:space="preserve">月</w:t>
            </w:r>
            <w:r>
              <w:rPr>
                <w:rFonts w:ascii="宋体" w:hAnsi="宋体" w:eastAsia="宋体" w:cs="宋体"/>
                <w:color w:val="000000"/>
                <w:sz w:val="18"/>
                <w:szCs w:val="18"/>
                <w:highlight w:val="none"/>
                <w:lang w:eastAsia="zh-CN"/>
              </w:rPr>
            </w:r>
            <w:r/>
          </w:p>
        </w:tc>
        <w:tc>
          <w:tcPr>
            <w:shd w:val="clear" w:color="auto" w:fill="ffffff"/>
            <w:tcW w:w="4688" w:type="dxa"/>
            <w:vAlign w:val="center"/>
            <w:textDirection w:val="lrTb"/>
            <w:noWrap w:val="false"/>
          </w:tcPr>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使用蓝板诱杀蓟马成虫；保护和释放天敌蜘蛛、新小绥螨、盲走螨、钝绥螨、小花蝽等；蓟马发生期喷施25%噻虫嗪水分散粒剂</w:t>
            </w:r>
            <w:r>
              <w:rPr>
                <w:rFonts w:hint="eastAsia" w:ascii="宋体" w:hAnsi="宋体" w:eastAsia="宋体" w:cs="宋体"/>
                <w:color w:val="000000"/>
                <w:sz w:val="18"/>
                <w:szCs w:val="18"/>
                <w:highlight w:val="none"/>
                <w:lang w:val="en-US" w:eastAsia="zh-CN" w:bidi="en-US"/>
              </w:rPr>
              <w:t xml:space="preserve">3000</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5000 </w:t>
            </w:r>
            <w:r>
              <w:rPr>
                <w:rFonts w:hint="eastAsia" w:ascii="宋体" w:hAnsi="宋体" w:eastAsia="宋体" w:cs="宋体"/>
                <w:color w:val="000000"/>
                <w:sz w:val="18"/>
                <w:szCs w:val="18"/>
                <w:highlight w:val="none"/>
                <w:lang w:val="en-US" w:eastAsia="zh-CN" w:bidi="en-US"/>
              </w:rPr>
              <w:br w:type="textWrapping" w:clear="all"/>
            </w:r>
            <w:r>
              <w:rPr>
                <w:rFonts w:hint="eastAsia" w:ascii="宋体" w:hAnsi="宋体" w:eastAsia="宋体" w:cs="宋体"/>
                <w:color w:val="000000"/>
                <w:sz w:val="18"/>
                <w:szCs w:val="18"/>
                <w:highlight w:val="none"/>
                <w:lang w:eastAsia="zh-CN"/>
              </w:rPr>
              <w:t xml:space="preserve">倍液，</w:t>
            </w:r>
            <w:r>
              <w:rPr>
                <w:rFonts w:hint="eastAsia" w:ascii="宋体" w:hAnsi="宋体" w:eastAsia="宋体" w:cs="宋体"/>
                <w:color w:val="000000"/>
                <w:sz w:val="18"/>
                <w:szCs w:val="18"/>
                <w:highlight w:val="none"/>
                <w:lang w:val="en-US" w:eastAsia="zh-CN" w:bidi="en-US"/>
              </w:rPr>
              <w:t xml:space="preserve">10%溴氰虫酰胺</w:t>
            </w:r>
            <w:r>
              <w:rPr>
                <w:rFonts w:hint="eastAsia" w:ascii="宋体" w:hAnsi="宋体" w:eastAsia="宋体" w:cs="宋体"/>
                <w:color w:val="000000"/>
                <w:sz w:val="18"/>
                <w:szCs w:val="18"/>
                <w:highlight w:val="none"/>
                <w:lang w:eastAsia="zh-CN"/>
              </w:rPr>
              <w:t xml:space="preserve">可分散油悬浮剂4000〜5000倍液</w:t>
            </w:r>
            <w:r>
              <w:rPr>
                <w:rFonts w:hint="eastAsia" w:ascii="宋体" w:hAnsi="宋体" w:eastAsia="宋体" w:cs="宋体"/>
                <w:color w:val="000000"/>
                <w:sz w:val="18"/>
                <w:szCs w:val="18"/>
                <w:highlight w:val="none"/>
                <w:lang w:val="en-US" w:eastAsia="zh-CN" w:bidi="en-US"/>
              </w:rPr>
              <w:t xml:space="preserve">， </w:t>
            </w:r>
            <w:r>
              <w:rPr>
                <w:rFonts w:hint="eastAsia" w:ascii="宋体" w:hAnsi="宋体" w:eastAsia="宋体" w:cs="宋体"/>
                <w:color w:val="000000"/>
                <w:sz w:val="18"/>
                <w:szCs w:val="18"/>
                <w:highlight w:val="none"/>
                <w:lang w:eastAsia="zh-CN"/>
              </w:rPr>
              <w:t xml:space="preserve">10%吡虫啉可湿性粉剂2000倍液，25%多杀霉素悬浮剂6000〜8000倍液，注意轮换用药。</w:t>
            </w:r>
            <w:r>
              <w:rPr>
                <w:rFonts w:ascii="宋体" w:hAnsi="宋体" w:eastAsia="宋体" w:cs="宋体"/>
                <w:color w:val="000000"/>
                <w:sz w:val="18"/>
                <w:szCs w:val="18"/>
                <w:highlight w:val="none"/>
                <w:lang w:eastAsia="zh-CN"/>
              </w:rPr>
            </w:r>
            <w:r/>
          </w:p>
        </w:tc>
      </w:tr>
      <w:tr>
        <w:trPr>
          <w:trHeight w:val="1445" w:hRule="exact"/>
        </w:trPr>
        <w:tc>
          <w:tcPr>
            <w:shd w:val="clear" w:color="auto" w:fill="ffffff"/>
            <w:tcW w:w="1013"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茎蜂</w:t>
            </w:r>
            <w:r>
              <w:rPr>
                <w:rFonts w:ascii="宋体" w:hAnsi="宋体" w:eastAsia="宋体" w:cs="宋体"/>
                <w:color w:val="000000"/>
                <w:sz w:val="18"/>
                <w:szCs w:val="18"/>
                <w:highlight w:val="none"/>
                <w:lang w:eastAsia="zh-CN"/>
              </w:rPr>
            </w:r>
            <w:r/>
          </w:p>
        </w:tc>
        <w:tc>
          <w:tcPr>
            <w:shd w:val="clear" w:color="auto" w:fill="ffffff"/>
            <w:tcW w:w="2163" w:type="dxa"/>
            <w:vAlign w:val="center"/>
            <w:textDirection w:val="lrTb"/>
            <w:noWrap w:val="false"/>
          </w:tcPr>
          <w:p>
            <w:pPr>
              <w:pStyle w:val="1083"/>
              <w:ind w:firstLine="20"/>
              <w:jc w:val="center"/>
              <w:spacing w:line="240" w:lineRule="auto"/>
              <w:shd w:val="clear" w:color="auto" w:fill="auto"/>
              <w:rPr>
                <w:rFonts w:ascii="宋体" w:hAnsi="宋体" w:eastAsia="宋体" w:cs="宋体"/>
                <w:iCs/>
                <w:color w:val="000000"/>
                <w:sz w:val="18"/>
                <w:szCs w:val="18"/>
                <w:highlight w:val="none"/>
                <w:lang w:val="en-US" w:eastAsia="zh-CN" w:bidi="en-US"/>
              </w:rPr>
            </w:pPr>
            <w:r>
              <w:rPr>
                <w:rFonts w:hint="eastAsia" w:ascii="宋体" w:hAnsi="宋体" w:eastAsia="宋体" w:cs="宋体"/>
                <w:iCs/>
                <w:color w:val="000000"/>
                <w:sz w:val="18"/>
                <w:szCs w:val="18"/>
                <w:highlight w:val="none"/>
                <w:lang w:val="en-US" w:eastAsia="zh-CN" w:bidi="en-US"/>
              </w:rPr>
              <w:t xml:space="preserve">蔷薇西茎蜂</w:t>
            </w:r>
            <w:r>
              <w:rPr>
                <w:rFonts w:ascii="宋体" w:hAnsi="宋体" w:eastAsia="宋体" w:cs="宋体"/>
                <w:iCs/>
                <w:color w:val="000000"/>
                <w:sz w:val="18"/>
                <w:szCs w:val="18"/>
                <w:highlight w:val="none"/>
                <w:lang w:val="en-US" w:eastAsia="zh-CN" w:bidi="en-US"/>
              </w:rPr>
            </w:r>
            <w:r/>
          </w:p>
          <w:p>
            <w:pPr>
              <w:pStyle w:val="1083"/>
              <w:ind w:firstLine="20"/>
              <w:jc w:val="center"/>
              <w:spacing w:line="240" w:lineRule="auto"/>
              <w:shd w:val="clear" w:color="auto" w:fill="auto"/>
              <w:rPr>
                <w:rFonts w:ascii="宋体" w:hAnsi="宋体" w:eastAsia="宋体" w:cs="宋体"/>
                <w:color w:val="000000"/>
                <w:sz w:val="18"/>
                <w:szCs w:val="18"/>
                <w:highlight w:val="none"/>
                <w:lang w:val="en-US" w:eastAsia="zh-CN"/>
              </w:rPr>
            </w:pPr>
            <w:r>
              <w:rPr>
                <w:rFonts w:hint="eastAsia" w:ascii="宋体" w:hAnsi="宋体" w:eastAsia="宋体" w:cs="宋体"/>
                <w:i/>
                <w:iCs/>
                <w:color w:val="000000"/>
                <w:sz w:val="18"/>
                <w:szCs w:val="18"/>
                <w:highlight w:val="none"/>
                <w:lang w:val="en-US" w:eastAsia="en-US" w:bidi="en-US"/>
              </w:rPr>
              <w:t xml:space="preserve">Syrista simi</w:t>
            </w:r>
            <w:r>
              <w:rPr>
                <w:rFonts w:hint="eastAsia" w:ascii="宋体" w:hAnsi="宋体" w:eastAsia="宋体" w:cs="宋体"/>
                <w:i/>
                <w:iCs/>
                <w:color w:val="000000"/>
                <w:sz w:val="18"/>
                <w:szCs w:val="18"/>
                <w:highlight w:val="none"/>
                <w:lang w:val="en-US" w:eastAsia="zh-CN" w:bidi="en-US"/>
              </w:rPr>
              <w:t xml:space="preserve">l</w:t>
            </w:r>
            <w:r>
              <w:rPr>
                <w:rFonts w:hint="eastAsia" w:ascii="宋体" w:hAnsi="宋体" w:eastAsia="宋体" w:cs="宋体"/>
                <w:i/>
                <w:iCs/>
                <w:color w:val="000000"/>
                <w:sz w:val="18"/>
                <w:szCs w:val="18"/>
                <w:highlight w:val="none"/>
                <w:lang w:val="en-US" w:eastAsia="en-US" w:bidi="en-US"/>
              </w:rPr>
              <w:t xml:space="preserve">is</w:t>
            </w:r>
            <w:r>
              <w:rPr>
                <w:rFonts w:ascii="宋体" w:hAnsi="宋体" w:eastAsia="宋体" w:cs="宋体"/>
                <w:color w:val="000000"/>
                <w:sz w:val="18"/>
                <w:szCs w:val="18"/>
                <w:highlight w:val="none"/>
                <w:lang w:val="en-US" w:eastAsia="zh-CN"/>
              </w:rPr>
            </w:r>
            <w:r/>
          </w:p>
        </w:tc>
        <w:tc>
          <w:tcPr>
            <w:shd w:val="clear" w:color="auto" w:fill="ffffff"/>
            <w:tcW w:w="851" w:type="dxa"/>
            <w:vAlign w:val="center"/>
            <w:textDirection w:val="lrTb"/>
            <w:noWrap w:val="false"/>
          </w:tcPr>
          <w:p>
            <w:pPr>
              <w:pStyle w:val="1083"/>
              <w:ind w:left="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枝条髓部</w:t>
            </w:r>
            <w:r>
              <w:rPr>
                <w:rFonts w:ascii="宋体" w:hAnsi="宋体" w:eastAsia="宋体" w:cs="宋体"/>
                <w:color w:val="000000"/>
                <w:sz w:val="18"/>
                <w:szCs w:val="18"/>
                <w:highlight w:val="none"/>
                <w:lang w:eastAsia="zh-CN"/>
              </w:rPr>
            </w:r>
            <w:r/>
          </w:p>
        </w:tc>
        <w:tc>
          <w:tcPr>
            <w:shd w:val="clear" w:color="auto" w:fill="ffffff"/>
            <w:tcW w:w="1276" w:type="dxa"/>
            <w:vAlign w:val="center"/>
            <w:textDirection w:val="lrTb"/>
            <w:noWrap w:val="false"/>
          </w:tcPr>
          <w:p>
            <w:pPr>
              <w:pStyle w:val="108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4月〜11月</w:t>
            </w:r>
            <w:r>
              <w:rPr>
                <w:rFonts w:ascii="宋体" w:hAnsi="宋体" w:eastAsia="宋体" w:cs="宋体"/>
                <w:color w:val="000000"/>
                <w:sz w:val="18"/>
                <w:szCs w:val="18"/>
                <w:highlight w:val="none"/>
                <w:lang w:eastAsia="zh-CN"/>
              </w:rPr>
            </w:r>
            <w:r/>
          </w:p>
        </w:tc>
        <w:tc>
          <w:tcPr>
            <w:shd w:val="clear" w:color="auto" w:fill="ffffff"/>
            <w:tcW w:w="4688" w:type="dxa"/>
            <w:vAlign w:val="center"/>
            <w:textDirection w:val="lrTb"/>
            <w:noWrap w:val="false"/>
          </w:tcPr>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修剪带虫枝条，发现枯梢枯萎，在产卵痕下</w:t>
            </w:r>
            <w:r>
              <w:rPr>
                <w:rFonts w:hint="eastAsia" w:ascii="宋体" w:hAnsi="宋体" w:eastAsia="宋体" w:cs="宋体"/>
                <w:color w:val="000000"/>
                <w:sz w:val="18"/>
                <w:szCs w:val="18"/>
                <w:highlight w:val="none"/>
                <w:lang w:val="en-US" w:eastAsia="zh-CN" w:bidi="en-US"/>
              </w:rPr>
              <w:t xml:space="preserve">2cm</w:t>
            </w:r>
            <w:r>
              <w:rPr>
                <w:rFonts w:hint="eastAsia" w:ascii="宋体" w:hAnsi="宋体" w:eastAsia="宋体" w:cs="宋体"/>
                <w:color w:val="000000"/>
                <w:sz w:val="18"/>
                <w:szCs w:val="18"/>
                <w:highlight w:val="none"/>
                <w:lang w:val="en-US" w:eastAsia="zh-CN" w:bidi="en-US"/>
              </w:rPr>
              <w:br w:type="textWrapping" w:clear="all"/>
            </w:r>
            <w:r>
              <w:rPr>
                <w:rFonts w:hint="eastAsia" w:ascii="宋体" w:hAnsi="宋体" w:eastAsia="宋体" w:cs="宋体"/>
                <w:color w:val="000000"/>
                <w:sz w:val="18"/>
                <w:szCs w:val="18"/>
                <w:highlight w:val="none"/>
                <w:lang w:eastAsia="zh-CN"/>
              </w:rPr>
              <w:t xml:space="preserve">处剪除，清除虫卵；注意保护天故 （金小蜂） ；越冬代成虫羽化初期和卵孵化期，喷施24%虫螨腈悬浮剂1000倍液，2.5%高效氯氟氰菊酯微乳剂3000倍液，1.8%阿维菌素乳油</w:t>
            </w:r>
            <w:r>
              <w:rPr>
                <w:rFonts w:hint="eastAsia" w:ascii="宋体" w:hAnsi="宋体" w:eastAsia="宋体" w:cs="宋体"/>
                <w:color w:val="000000"/>
                <w:sz w:val="18"/>
                <w:szCs w:val="18"/>
                <w:highlight w:val="none"/>
                <w:lang w:val="en-US" w:eastAsia="zh-CN" w:bidi="en-US"/>
              </w:rPr>
              <w:t xml:space="preserve">4000</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6000</w:t>
            </w:r>
            <w:r>
              <w:rPr>
                <w:rFonts w:hint="eastAsia" w:ascii="宋体" w:hAnsi="宋体" w:eastAsia="宋体" w:cs="宋体"/>
                <w:color w:val="000000"/>
                <w:sz w:val="18"/>
                <w:szCs w:val="18"/>
                <w:highlight w:val="none"/>
                <w:lang w:eastAsia="zh-CN"/>
              </w:rPr>
              <w:t xml:space="preserve">倍液。</w:t>
            </w:r>
            <w:r>
              <w:rPr>
                <w:rFonts w:ascii="宋体" w:hAnsi="宋体" w:eastAsia="宋体" w:cs="宋体"/>
                <w:color w:val="000000"/>
                <w:sz w:val="18"/>
                <w:szCs w:val="18"/>
                <w:highlight w:val="none"/>
                <w:lang w:eastAsia="zh-CN"/>
              </w:rPr>
            </w:r>
            <w:r/>
          </w:p>
        </w:tc>
      </w:tr>
      <w:tr>
        <w:trPr>
          <w:trHeight w:val="1234" w:hRule="exact"/>
        </w:trPr>
        <w:tc>
          <w:tcPr>
            <w:shd w:val="clear" w:color="auto" w:fill="ffffff"/>
            <w:tcW w:w="1013"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叶蜂</w:t>
            </w:r>
            <w:r>
              <w:rPr>
                <w:rFonts w:ascii="宋体" w:hAnsi="宋体" w:eastAsia="宋体" w:cs="宋体"/>
                <w:color w:val="000000"/>
                <w:sz w:val="18"/>
                <w:szCs w:val="18"/>
                <w:highlight w:val="none"/>
                <w:lang w:eastAsia="zh-CN"/>
              </w:rPr>
            </w:r>
            <w:r/>
          </w:p>
        </w:tc>
        <w:tc>
          <w:tcPr>
            <w:shd w:val="clear" w:color="auto" w:fill="ffffff"/>
            <w:tcW w:w="2163" w:type="dxa"/>
            <w:vAlign w:val="center"/>
            <w:textDirection w:val="lrTb"/>
            <w:noWrap w:val="false"/>
          </w:tcPr>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月季三节叶蜂</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zh-CN" w:bidi="en-US"/>
              </w:rPr>
              <w:t xml:space="preserve">Arge geei</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玫瑰三节叶蜂</w:t>
            </w:r>
            <w:r>
              <w:rPr>
                <w:rFonts w:hint="eastAsia" w:ascii="宋体" w:hAnsi="宋体" w:eastAsia="宋体" w:cs="宋体"/>
                <w:color w:val="000000"/>
                <w:sz w:val="18"/>
                <w:szCs w:val="18"/>
                <w:highlight w:val="none"/>
                <w:lang w:eastAsia="zh-CN"/>
              </w:rPr>
              <w:br w:type="textWrapping" w:clear="all"/>
            </w:r>
            <w:r>
              <w:rPr>
                <w:rFonts w:hint="eastAsia" w:ascii="宋体" w:hAnsi="宋体" w:eastAsia="宋体" w:cs="宋体"/>
                <w:i/>
                <w:iCs/>
                <w:color w:val="000000"/>
                <w:sz w:val="18"/>
                <w:szCs w:val="18"/>
                <w:highlight w:val="none"/>
                <w:lang w:val="en-US" w:eastAsia="zh-CN" w:bidi="en-US"/>
              </w:rPr>
              <w:t xml:space="preserve">Arge. pagana</w:t>
            </w:r>
            <w:r>
              <w:rPr>
                <w:rFonts w:ascii="宋体" w:hAnsi="宋体" w:eastAsia="宋体" w:cs="宋体"/>
                <w:color w:val="000000"/>
                <w:sz w:val="18"/>
                <w:szCs w:val="18"/>
                <w:highlight w:val="none"/>
                <w:lang w:eastAsia="zh-CN"/>
              </w:rPr>
            </w:r>
            <w:r/>
          </w:p>
        </w:tc>
        <w:tc>
          <w:tcPr>
            <w:shd w:val="clear" w:color="auto" w:fill="ffffff"/>
            <w:tcW w:w="851" w:type="dxa"/>
            <w:vAlign w:val="center"/>
            <w:textDirection w:val="lrTb"/>
            <w:noWrap w:val="false"/>
          </w:tcPr>
          <w:p>
            <w:pPr>
              <w:pStyle w:val="1083"/>
              <w:ind w:left="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叶片</w:t>
            </w:r>
            <w:r>
              <w:rPr>
                <w:rFonts w:ascii="宋体" w:hAnsi="宋体" w:eastAsia="宋体" w:cs="宋体"/>
                <w:color w:val="000000"/>
                <w:sz w:val="18"/>
                <w:szCs w:val="18"/>
                <w:highlight w:val="none"/>
                <w:lang w:eastAsia="zh-CN"/>
              </w:rPr>
            </w:r>
            <w:r/>
          </w:p>
        </w:tc>
        <w:tc>
          <w:tcPr>
            <w:shd w:val="clear" w:color="auto" w:fill="ffffff"/>
            <w:tcW w:w="1276" w:type="dxa"/>
            <w:vAlign w:val="center"/>
            <w:textDirection w:val="lrTb"/>
            <w:noWrap w:val="false"/>
          </w:tcPr>
          <w:p>
            <w:pPr>
              <w:pStyle w:val="108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4月〜11月</w:t>
            </w:r>
            <w:r>
              <w:rPr>
                <w:rFonts w:ascii="宋体" w:hAnsi="宋体" w:eastAsia="宋体" w:cs="宋体"/>
                <w:color w:val="000000"/>
                <w:sz w:val="18"/>
                <w:szCs w:val="18"/>
                <w:highlight w:val="none"/>
                <w:lang w:eastAsia="zh-CN"/>
              </w:rPr>
            </w:r>
            <w:r/>
          </w:p>
        </w:tc>
        <w:tc>
          <w:tcPr>
            <w:shd w:val="clear" w:color="auto" w:fill="ffffff"/>
            <w:tcW w:w="4688" w:type="dxa"/>
            <w:vAlign w:val="center"/>
            <w:textDirection w:val="lrTb"/>
            <w:noWrap w:val="false"/>
          </w:tcPr>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北方秋未和冬初挖除越冬茧；剪除虫卵</w:t>
            </w:r>
            <w:r>
              <w:rPr>
                <w:rFonts w:hint="eastAsia" w:ascii="宋体" w:hAnsi="宋体" w:eastAsia="宋体" w:cs="宋体"/>
                <w:color w:val="000000"/>
                <w:sz w:val="18"/>
                <w:szCs w:val="18"/>
                <w:highlight w:val="none"/>
                <w:lang w:val="en-US" w:eastAsia="zh-CN" w:bidi="en-US"/>
              </w:rPr>
              <w:t xml:space="preserve">枝条</w:t>
            </w:r>
            <w:r>
              <w:rPr>
                <w:rFonts w:hint="eastAsia" w:ascii="宋体" w:hAnsi="宋体" w:eastAsia="宋体" w:cs="宋体"/>
                <w:color w:val="000000"/>
                <w:sz w:val="18"/>
                <w:szCs w:val="18"/>
                <w:highlight w:val="none"/>
                <w:lang w:eastAsia="zh-CN"/>
              </w:rPr>
              <w:t xml:space="preserve">；幼虫孵化期喷施</w:t>
            </w:r>
            <w:r>
              <w:rPr>
                <w:rFonts w:hint="eastAsia" w:ascii="宋体" w:hAnsi="宋体" w:eastAsia="宋体" w:cs="宋体"/>
                <w:color w:val="000000"/>
                <w:sz w:val="18"/>
                <w:szCs w:val="18"/>
                <w:highlight w:val="none"/>
                <w:lang w:val="en-US" w:eastAsia="zh-CN" w:bidi="en-US"/>
              </w:rPr>
              <w:t xml:space="preserve">Bt</w:t>
            </w:r>
            <w:r>
              <w:rPr>
                <w:rFonts w:hint="eastAsia" w:ascii="宋体" w:hAnsi="宋体" w:eastAsia="宋体" w:cs="宋体"/>
                <w:color w:val="000000"/>
                <w:sz w:val="18"/>
                <w:szCs w:val="18"/>
                <w:highlight w:val="none"/>
                <w:lang w:eastAsia="zh-CN"/>
              </w:rPr>
              <w:t xml:space="preserve">乳剂500倍液；幼虫期喷施2.5%高效氟氰菊酯微乳剂3000倍液，</w:t>
            </w:r>
            <w:r>
              <w:rPr>
                <w:rFonts w:hint="eastAsia" w:ascii="宋体" w:hAnsi="宋体" w:eastAsia="宋体" w:cs="宋体"/>
                <w:color w:val="000000"/>
                <w:sz w:val="18"/>
                <w:szCs w:val="18"/>
                <w:highlight w:val="none"/>
                <w:lang w:val="en-US" w:eastAsia="zh-CN" w:bidi="en-US"/>
              </w:rPr>
              <w:t xml:space="preserve">0.</w:t>
            </w:r>
            <w:r>
              <w:rPr>
                <w:rFonts w:hint="eastAsia" w:ascii="宋体" w:hAnsi="宋体" w:eastAsia="宋体" w:cs="宋体"/>
                <w:color w:val="000000"/>
                <w:sz w:val="18"/>
                <w:szCs w:val="18"/>
                <w:highlight w:val="none"/>
                <w:lang w:eastAsia="zh-CN"/>
              </w:rPr>
              <w:t xml:space="preserve">3%苦参碱水剂 </w:t>
            </w:r>
            <w:r>
              <w:rPr>
                <w:rFonts w:hint="eastAsia" w:ascii="宋体" w:hAnsi="宋体" w:eastAsia="宋体" w:cs="宋体"/>
                <w:color w:val="000000"/>
                <w:sz w:val="18"/>
                <w:szCs w:val="18"/>
                <w:highlight w:val="none"/>
                <w:lang w:val="en-US" w:eastAsia="zh-CN" w:bidi="en-US"/>
              </w:rPr>
              <w:t xml:space="preserve">1000</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1500倍液。</w:t>
            </w:r>
            <w:r>
              <w:rPr>
                <w:rFonts w:ascii="宋体" w:hAnsi="宋体" w:eastAsia="宋体" w:cs="宋体"/>
                <w:color w:val="000000"/>
                <w:sz w:val="18"/>
                <w:szCs w:val="18"/>
                <w:highlight w:val="none"/>
                <w:lang w:eastAsia="zh-CN"/>
              </w:rPr>
            </w:r>
            <w:r/>
          </w:p>
        </w:tc>
      </w:tr>
      <w:tr>
        <w:trPr>
          <w:trHeight w:val="1209" w:hRule="exact"/>
        </w:trPr>
        <w:tc>
          <w:tcPr>
            <w:shd w:val="clear" w:color="auto" w:fill="ffffff"/>
            <w:tcW w:w="1013"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切叶蜂</w:t>
            </w:r>
            <w:r>
              <w:rPr>
                <w:rFonts w:ascii="宋体" w:hAnsi="宋体" w:eastAsia="宋体" w:cs="宋体"/>
                <w:color w:val="000000"/>
                <w:sz w:val="18"/>
                <w:szCs w:val="18"/>
                <w:highlight w:val="none"/>
                <w:lang w:eastAsia="zh-CN"/>
              </w:rPr>
            </w:r>
            <w:r/>
          </w:p>
        </w:tc>
        <w:tc>
          <w:tcPr>
            <w:shd w:val="clear" w:color="auto" w:fill="ffffff"/>
            <w:tcW w:w="2163" w:type="dxa"/>
            <w:vAlign w:val="center"/>
            <w:textDirection w:val="lrTb"/>
            <w:noWrap w:val="false"/>
          </w:tcPr>
          <w:p>
            <w:pPr>
              <w:pStyle w:val="1083"/>
              <w:ind w:left="142" w:firstLine="2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拟蔷薇切叶蜂</w:t>
            </w:r>
            <w:r>
              <w:rPr>
                <w:rFonts w:ascii="宋体" w:hAnsi="宋体" w:eastAsia="宋体" w:cs="宋体"/>
                <w:color w:val="000000"/>
                <w:sz w:val="18"/>
                <w:szCs w:val="18"/>
                <w:highlight w:val="none"/>
                <w:lang w:eastAsia="zh-CN"/>
              </w:rPr>
            </w:r>
            <w:r/>
          </w:p>
          <w:p>
            <w:pPr>
              <w:pStyle w:val="1083"/>
              <w:ind w:left="142" w:firstLine="2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zh-CN" w:bidi="en-US"/>
              </w:rPr>
              <w:t xml:space="preserve">Megachil subtra</w:t>
            </w:r>
            <w:r>
              <w:rPr>
                <w:rFonts w:hint="eastAsia" w:ascii="宋体" w:hAnsi="宋体" w:eastAsia="宋体" w:cs="宋体"/>
                <w:i/>
                <w:iCs/>
                <w:color w:val="000000"/>
                <w:sz w:val="18"/>
                <w:szCs w:val="18"/>
                <w:highlight w:val="none"/>
                <w:lang w:val="en-US" w:eastAsia="en-US" w:bidi="en-US"/>
              </w:rPr>
              <w:t xml:space="preserve">nguilla</w:t>
            </w:r>
            <w:r>
              <w:rPr>
                <w:rFonts w:ascii="宋体" w:hAnsi="宋体" w:eastAsia="宋体" w:cs="宋体"/>
                <w:color w:val="000000"/>
                <w:sz w:val="18"/>
                <w:szCs w:val="18"/>
                <w:highlight w:val="none"/>
                <w:lang w:eastAsia="zh-CN"/>
              </w:rPr>
            </w:r>
            <w:r/>
          </w:p>
        </w:tc>
        <w:tc>
          <w:tcPr>
            <w:shd w:val="clear" w:color="auto" w:fill="ffffff"/>
            <w:tcW w:w="851" w:type="dxa"/>
            <w:vAlign w:val="center"/>
            <w:textDirection w:val="lrTb"/>
            <w:noWrap w:val="false"/>
          </w:tcPr>
          <w:p>
            <w:pPr>
              <w:pStyle w:val="1083"/>
              <w:ind w:left="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叶片</w:t>
            </w:r>
            <w:r>
              <w:rPr>
                <w:rFonts w:ascii="宋体" w:hAnsi="宋体" w:eastAsia="宋体" w:cs="宋体"/>
                <w:color w:val="000000"/>
                <w:sz w:val="18"/>
                <w:szCs w:val="18"/>
                <w:highlight w:val="none"/>
                <w:lang w:eastAsia="zh-CN"/>
              </w:rPr>
            </w:r>
            <w:r/>
          </w:p>
        </w:tc>
        <w:tc>
          <w:tcPr>
            <w:shd w:val="clear" w:color="auto" w:fill="ffffff"/>
            <w:tcW w:w="1276" w:type="dxa"/>
            <w:vAlign w:val="center"/>
            <w:textDirection w:val="lrTb"/>
            <w:noWrap w:val="false"/>
          </w:tcPr>
          <w:p>
            <w:pPr>
              <w:pStyle w:val="108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4月〜11月</w:t>
            </w:r>
            <w:r>
              <w:rPr>
                <w:rFonts w:ascii="宋体" w:hAnsi="宋体" w:eastAsia="宋体" w:cs="宋体"/>
                <w:color w:val="000000"/>
                <w:sz w:val="18"/>
                <w:szCs w:val="18"/>
                <w:highlight w:val="none"/>
                <w:lang w:eastAsia="zh-CN"/>
              </w:rPr>
            </w:r>
            <w:r/>
          </w:p>
        </w:tc>
        <w:tc>
          <w:tcPr>
            <w:shd w:val="clear" w:color="auto" w:fill="ffffff"/>
            <w:tcW w:w="4688" w:type="dxa"/>
            <w:vAlign w:val="center"/>
            <w:textDirection w:val="lrTb"/>
            <w:noWrap w:val="false"/>
          </w:tcPr>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切叶蜂羽化高峰期叶面喷施3%</w:t>
            </w:r>
            <w:r>
              <w:rPr>
                <w:rFonts w:hint="eastAsia" w:ascii="宋体" w:hAnsi="宋体" w:eastAsia="宋体" w:cs="宋体"/>
                <w:color w:val="000000"/>
                <w:sz w:val="18"/>
                <w:szCs w:val="18"/>
                <w:highlight w:val="none"/>
                <w:lang w:val="en-US" w:eastAsia="zh-CN" w:bidi="en-US"/>
              </w:rPr>
              <w:t xml:space="preserve">高渗苯氧威</w:t>
            </w:r>
            <w:r>
              <w:rPr>
                <w:rFonts w:hint="eastAsia" w:ascii="宋体" w:hAnsi="宋体" w:eastAsia="宋体" w:cs="宋体"/>
                <w:color w:val="000000"/>
                <w:sz w:val="18"/>
                <w:szCs w:val="18"/>
                <w:highlight w:val="none"/>
                <w:lang w:eastAsia="zh-CN"/>
              </w:rPr>
              <w:t xml:space="preserve">乳油3000倍液，24%虫螨腈悬浮剂1000倍液，2.5%</w:t>
            </w:r>
            <w:r>
              <w:rPr>
                <w:rFonts w:hint="eastAsia" w:ascii="宋体" w:hAnsi="宋体" w:eastAsia="宋体" w:cs="宋体"/>
                <w:color w:val="000000"/>
                <w:sz w:val="18"/>
                <w:szCs w:val="18"/>
                <w:highlight w:val="none"/>
                <w:lang w:eastAsia="zh-CN"/>
              </w:rPr>
              <w:br w:type="textWrapping" w:clear="all"/>
            </w:r>
            <w:r>
              <w:rPr>
                <w:rFonts w:hint="eastAsia" w:ascii="宋体" w:hAnsi="宋体" w:eastAsia="宋体" w:cs="宋体"/>
                <w:iCs/>
                <w:color w:val="000000"/>
                <w:sz w:val="18"/>
                <w:szCs w:val="18"/>
                <w:highlight w:val="none"/>
                <w:lang w:eastAsia="zh-CN"/>
              </w:rPr>
              <w:t xml:space="preserve">高效氯氟氰菊酯微</w:t>
            </w:r>
            <w:r>
              <w:rPr>
                <w:rFonts w:hint="eastAsia" w:ascii="宋体" w:hAnsi="宋体" w:eastAsia="宋体" w:cs="宋体"/>
                <w:color w:val="000000"/>
                <w:sz w:val="18"/>
                <w:szCs w:val="18"/>
                <w:highlight w:val="none"/>
                <w:lang w:eastAsia="zh-CN"/>
              </w:rPr>
              <w:t xml:space="preserve">乳剂3000倍液，5%甲基阿维</w:t>
            </w:r>
            <w:r>
              <w:rPr>
                <w:rFonts w:ascii="宋体" w:hAnsi="宋体" w:eastAsia="宋体" w:cs="宋体"/>
                <w:color w:val="000000"/>
                <w:sz w:val="18"/>
                <w:szCs w:val="18"/>
                <w:highlight w:val="none"/>
                <w:lang w:eastAsia="zh-CN"/>
              </w:rPr>
            </w:r>
            <w:r/>
          </w:p>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菌素苯甲酸盐15000倍液。</w:t>
            </w:r>
            <w:r>
              <w:rPr>
                <w:rFonts w:ascii="宋体" w:hAnsi="宋体" w:eastAsia="宋体" w:cs="宋体"/>
                <w:color w:val="000000"/>
                <w:sz w:val="18"/>
                <w:szCs w:val="18"/>
                <w:highlight w:val="none"/>
                <w:lang w:eastAsia="zh-CN"/>
              </w:rPr>
            </w:r>
            <w:r/>
          </w:p>
        </w:tc>
      </w:tr>
      <w:tr>
        <w:trPr>
          <w:trHeight w:val="1698" w:hRule="exact"/>
        </w:trPr>
        <w:tc>
          <w:tcPr>
            <w:shd w:val="clear" w:color="auto" w:fill="ffffff"/>
            <w:tcW w:w="1013"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刺蛾</w:t>
            </w:r>
            <w:r>
              <w:rPr>
                <w:rFonts w:ascii="宋体" w:hAnsi="宋体" w:eastAsia="宋体" w:cs="宋体"/>
                <w:color w:val="000000"/>
                <w:sz w:val="18"/>
                <w:szCs w:val="18"/>
                <w:highlight w:val="none"/>
                <w:lang w:eastAsia="zh-CN"/>
              </w:rPr>
            </w:r>
            <w:r/>
          </w:p>
        </w:tc>
        <w:tc>
          <w:tcPr>
            <w:shd w:val="clear" w:color="auto" w:fill="ffffff"/>
            <w:tcW w:w="2163" w:type="dxa"/>
            <w:vAlign w:val="top"/>
            <w:textDirection w:val="lrTb"/>
            <w:noWrap w:val="false"/>
          </w:tcPr>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黄刺蛾</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en-US" w:bidi="en-US"/>
              </w:rPr>
              <w:t xml:space="preserve">Cnidocampa flavescens</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val="en-US" w:eastAsia="zh-CN" w:bidi="en-US"/>
              </w:rPr>
              <w:t xml:space="preserve">褐边绿</w:t>
            </w:r>
            <w:r>
              <w:rPr>
                <w:rFonts w:hint="eastAsia" w:ascii="宋体" w:hAnsi="宋体" w:eastAsia="宋体" w:cs="宋体"/>
                <w:color w:val="000000"/>
                <w:sz w:val="18"/>
                <w:szCs w:val="18"/>
                <w:highlight w:val="none"/>
                <w:lang w:eastAsia="zh-CN"/>
              </w:rPr>
              <w:t xml:space="preserve">刺蛾</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en-US" w:bidi="en-US"/>
              </w:rPr>
              <w:t xml:space="preserve">Parnsa consocia</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中国绿刺蛾</w:t>
            </w:r>
            <w:r>
              <w:rPr>
                <w:rFonts w:ascii="宋体" w:hAnsi="宋体" w:eastAsia="宋体" w:cs="宋体"/>
                <w:color w:val="000000"/>
                <w:sz w:val="18"/>
                <w:szCs w:val="18"/>
                <w:highlight w:val="none"/>
                <w:lang w:eastAsia="zh-CN"/>
              </w:rPr>
            </w:r>
            <w:r/>
          </w:p>
          <w:p>
            <w:pPr>
              <w:pStyle w:val="1083"/>
              <w:ind w:firstLine="20"/>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en-US" w:bidi="en-US"/>
              </w:rPr>
              <w:t xml:space="preserve">Parnsa </w:t>
            </w:r>
            <w:r>
              <w:rPr>
                <w:rFonts w:hint="eastAsia" w:ascii="宋体" w:hAnsi="宋体" w:eastAsia="宋体" w:cs="宋体"/>
                <w:i/>
                <w:iCs/>
                <w:color w:val="000000"/>
                <w:sz w:val="18"/>
                <w:szCs w:val="18"/>
                <w:highlight w:val="none"/>
                <w:lang w:val="en-US" w:eastAsia="zh-CN" w:bidi="en-US"/>
              </w:rPr>
              <w:t xml:space="preserve">s</w:t>
            </w:r>
            <w:r>
              <w:rPr>
                <w:rFonts w:hint="eastAsia" w:ascii="宋体" w:hAnsi="宋体" w:eastAsia="宋体" w:cs="宋体"/>
                <w:i/>
                <w:iCs/>
                <w:color w:val="000000"/>
                <w:sz w:val="18"/>
                <w:szCs w:val="18"/>
                <w:highlight w:val="none"/>
                <w:lang w:val="en-US" w:eastAsia="en-US" w:bidi="en-US"/>
              </w:rPr>
              <w:t xml:space="preserve">inica</w:t>
            </w:r>
            <w:r>
              <w:rPr>
                <w:rFonts w:ascii="宋体" w:hAnsi="宋体" w:eastAsia="宋体" w:cs="宋体"/>
                <w:color w:val="000000"/>
                <w:sz w:val="18"/>
                <w:szCs w:val="18"/>
                <w:highlight w:val="none"/>
                <w:lang w:eastAsia="zh-CN"/>
              </w:rPr>
            </w:r>
            <w:r/>
          </w:p>
        </w:tc>
        <w:tc>
          <w:tcPr>
            <w:shd w:val="clear" w:color="auto" w:fill="ffffff"/>
            <w:tcW w:w="851" w:type="dxa"/>
            <w:vAlign w:val="center"/>
            <w:textDirection w:val="lrTb"/>
            <w:noWrap w:val="false"/>
          </w:tcPr>
          <w:p>
            <w:pPr>
              <w:pStyle w:val="1083"/>
              <w:ind w:left="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叶片</w:t>
            </w:r>
            <w:r>
              <w:rPr>
                <w:rFonts w:ascii="宋体" w:hAnsi="宋体" w:eastAsia="宋体" w:cs="宋体"/>
                <w:color w:val="000000"/>
                <w:sz w:val="18"/>
                <w:szCs w:val="18"/>
                <w:highlight w:val="none"/>
                <w:lang w:eastAsia="zh-CN"/>
              </w:rPr>
            </w:r>
            <w:r/>
          </w:p>
        </w:tc>
        <w:tc>
          <w:tcPr>
            <w:shd w:val="clear" w:color="auto" w:fill="ffffff"/>
            <w:tcW w:w="1276" w:type="dxa"/>
            <w:vAlign w:val="center"/>
            <w:textDirection w:val="lrTb"/>
            <w:noWrap w:val="false"/>
          </w:tcPr>
          <w:p>
            <w:pPr>
              <w:pStyle w:val="108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5月〜9月</w:t>
            </w:r>
            <w:r>
              <w:rPr>
                <w:rFonts w:ascii="宋体" w:hAnsi="宋体" w:eastAsia="宋体" w:cs="宋体"/>
                <w:color w:val="000000"/>
                <w:sz w:val="18"/>
                <w:szCs w:val="18"/>
                <w:highlight w:val="none"/>
                <w:lang w:eastAsia="zh-CN"/>
              </w:rPr>
            </w:r>
            <w:r/>
          </w:p>
        </w:tc>
        <w:tc>
          <w:tcPr>
            <w:shd w:val="clear" w:color="auto" w:fill="ffffff"/>
            <w:tcW w:w="4688" w:type="dxa"/>
            <w:vAlign w:val="center"/>
            <w:textDirection w:val="lrTb"/>
            <w:noWrap w:val="false"/>
          </w:tcPr>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成虫发生期用黑光灯诱杀成虫，或人工摘除</w:t>
            </w:r>
            <w:r>
              <w:rPr>
                <w:rFonts w:hint="eastAsia" w:ascii="宋体" w:hAnsi="宋体" w:eastAsia="宋体" w:cs="宋体"/>
                <w:color w:val="000000"/>
                <w:sz w:val="18"/>
                <w:szCs w:val="18"/>
                <w:highlight w:val="none"/>
                <w:lang w:val="en-US" w:eastAsia="zh-CN" w:bidi="en-US"/>
              </w:rPr>
              <w:t xml:space="preserve">越冬</w:t>
            </w:r>
            <w:r>
              <w:rPr>
                <w:rFonts w:hint="eastAsia" w:ascii="宋体" w:hAnsi="宋体" w:eastAsia="宋体" w:cs="宋体"/>
                <w:color w:val="000000"/>
                <w:sz w:val="18"/>
                <w:szCs w:val="18"/>
                <w:highlight w:val="none"/>
                <w:lang w:eastAsia="zh-CN"/>
              </w:rPr>
              <w:t xml:space="preserve">茧；低龄幼虫期喷施20%除虫脲悬浮剂7000 </w:t>
            </w:r>
            <w:r>
              <w:rPr>
                <w:rFonts w:hint="eastAsia" w:ascii="宋体" w:hAnsi="宋体" w:eastAsia="宋体" w:cs="宋体"/>
                <w:color w:val="000000"/>
                <w:sz w:val="18"/>
                <w:szCs w:val="18"/>
                <w:highlight w:val="none"/>
                <w:lang w:val="en-US" w:eastAsia="zh-CN" w:bidi="en-US"/>
              </w:rPr>
              <w:t xml:space="preserve">倍液</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Bt</w:t>
            </w:r>
            <w:r>
              <w:rPr>
                <w:rFonts w:hint="eastAsia" w:ascii="宋体" w:hAnsi="宋体" w:eastAsia="宋体" w:cs="宋体"/>
                <w:color w:val="000000"/>
                <w:sz w:val="18"/>
                <w:szCs w:val="18"/>
                <w:highlight w:val="none"/>
                <w:lang w:eastAsia="zh-CN"/>
              </w:rPr>
              <w:t xml:space="preserve">乳剂500倍液，幼虫期喷施</w:t>
            </w:r>
            <w:r>
              <w:rPr>
                <w:rFonts w:hint="eastAsia" w:ascii="宋体" w:hAnsi="宋体" w:eastAsia="宋体" w:cs="宋体"/>
                <w:color w:val="000000"/>
                <w:sz w:val="18"/>
                <w:szCs w:val="18"/>
                <w:highlight w:val="none"/>
                <w:lang w:val="en-US" w:eastAsia="zh-CN" w:bidi="en-US"/>
              </w:rPr>
              <w:t xml:space="preserve">2. </w:t>
            </w:r>
            <w:r>
              <w:rPr>
                <w:rFonts w:hint="eastAsia" w:ascii="宋体" w:hAnsi="宋体" w:eastAsia="宋体" w:cs="宋体"/>
                <w:color w:val="000000"/>
                <w:sz w:val="18"/>
                <w:szCs w:val="18"/>
                <w:highlight w:val="none"/>
                <w:lang w:eastAsia="zh-CN"/>
              </w:rPr>
              <w:t xml:space="preserve">5%高效氯氟氰菊酯微乳剂3000倍液。</w:t>
            </w:r>
            <w:r>
              <w:rPr>
                <w:rFonts w:ascii="宋体" w:hAnsi="宋体" w:eastAsia="宋体" w:cs="宋体"/>
                <w:color w:val="000000"/>
                <w:sz w:val="18"/>
                <w:szCs w:val="18"/>
                <w:highlight w:val="none"/>
                <w:lang w:eastAsia="zh-CN"/>
              </w:rPr>
            </w:r>
            <w:r/>
          </w:p>
        </w:tc>
      </w:tr>
      <w:tr>
        <w:trPr>
          <w:trHeight w:val="958" w:hRule="exact"/>
        </w:trPr>
        <w:tc>
          <w:tcPr>
            <w:shd w:val="clear" w:color="auto" w:fill="ffffff"/>
            <w:tcW w:w="1013"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毒蛾</w:t>
            </w:r>
            <w:r>
              <w:rPr>
                <w:rFonts w:ascii="宋体" w:hAnsi="宋体" w:eastAsia="宋体" w:cs="宋体"/>
                <w:color w:val="000000"/>
                <w:sz w:val="18"/>
                <w:szCs w:val="18"/>
                <w:highlight w:val="none"/>
                <w:lang w:eastAsia="zh-CN"/>
              </w:rPr>
            </w:r>
            <w:r/>
          </w:p>
        </w:tc>
        <w:tc>
          <w:tcPr>
            <w:shd w:val="clear" w:color="auto" w:fill="ffffff"/>
            <w:tcW w:w="2163" w:type="dxa"/>
            <w:vAlign w:val="center"/>
            <w:textDirection w:val="lrTb"/>
            <w:noWrap w:val="false"/>
          </w:tcPr>
          <w:p>
            <w:pPr>
              <w:pStyle w:val="1083"/>
              <w:ind w:left="142" w:firstLine="23"/>
              <w:jc w:val="center"/>
              <w:spacing w:line="280" w:lineRule="exact"/>
              <w:shd w:val="clear" w:color="auto" w:fill="auto"/>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角斑台毒蛾</w:t>
            </w:r>
            <w:r>
              <w:rPr>
                <w:rFonts w:ascii="宋体" w:hAnsi="宋体" w:eastAsia="宋体" w:cs="宋体"/>
                <w:color w:val="000000"/>
                <w:sz w:val="18"/>
                <w:szCs w:val="18"/>
                <w:highlight w:val="none"/>
                <w:lang w:val="en-US" w:eastAsia="zh-CN"/>
              </w:rPr>
            </w:r>
            <w:r/>
          </w:p>
          <w:p>
            <w:pPr>
              <w:pStyle w:val="1083"/>
              <w:ind w:left="142" w:firstLine="23"/>
              <w:jc w:val="center"/>
              <w:spacing w:line="280" w:lineRule="exact"/>
              <w:shd w:val="clear" w:color="auto" w:fill="auto"/>
              <w:rPr>
                <w:rFonts w:ascii="宋体" w:hAnsi="宋体" w:eastAsia="宋体" w:cs="宋体"/>
                <w:color w:val="000000"/>
                <w:sz w:val="18"/>
                <w:szCs w:val="18"/>
                <w:highlight w:val="none"/>
                <w:lang w:val="en-US" w:eastAsia="zh-CN"/>
              </w:rPr>
            </w:pPr>
            <w:r>
              <w:rPr>
                <w:rFonts w:hint="eastAsia" w:ascii="宋体" w:hAnsi="宋体" w:eastAsia="宋体" w:cs="宋体"/>
                <w:i/>
                <w:iCs/>
                <w:color w:val="000000"/>
                <w:sz w:val="18"/>
                <w:szCs w:val="18"/>
                <w:highlight w:val="none"/>
                <w:lang w:val="en-US" w:eastAsia="en-US" w:bidi="en-US"/>
              </w:rPr>
              <w:t xml:space="preserve">Teia gon</w:t>
            </w:r>
            <w:r>
              <w:rPr>
                <w:rFonts w:hint="eastAsia" w:ascii="宋体" w:hAnsi="宋体" w:eastAsia="宋体" w:cs="宋体"/>
                <w:i/>
                <w:iCs/>
                <w:color w:val="000000"/>
                <w:sz w:val="18"/>
                <w:szCs w:val="18"/>
                <w:highlight w:val="none"/>
                <w:lang w:val="en-US" w:eastAsia="zh-CN" w:bidi="en-US"/>
              </w:rPr>
              <w:t xml:space="preserve">o</w:t>
            </w:r>
            <w:r>
              <w:rPr>
                <w:rFonts w:hint="eastAsia" w:ascii="宋体" w:hAnsi="宋体" w:eastAsia="宋体" w:cs="宋体"/>
                <w:i/>
                <w:iCs/>
                <w:color w:val="000000"/>
                <w:sz w:val="18"/>
                <w:szCs w:val="18"/>
                <w:highlight w:val="none"/>
                <w:lang w:val="en-US" w:eastAsia="en-US" w:bidi="en-US"/>
              </w:rPr>
              <w:t xml:space="preserve">sti</w:t>
            </w:r>
            <w:r>
              <w:rPr>
                <w:rFonts w:hint="eastAsia" w:ascii="宋体" w:hAnsi="宋体" w:eastAsia="宋体" w:cs="宋体"/>
                <w:i/>
                <w:iCs/>
                <w:color w:val="000000"/>
                <w:sz w:val="18"/>
                <w:szCs w:val="18"/>
                <w:highlight w:val="none"/>
                <w:lang w:val="en-US" w:eastAsia="zh-CN" w:bidi="en-US"/>
              </w:rPr>
              <w:t xml:space="preserve">gma</w:t>
            </w:r>
            <w:r>
              <w:rPr>
                <w:rFonts w:ascii="宋体" w:hAnsi="宋体" w:eastAsia="宋体" w:cs="宋体"/>
                <w:color w:val="000000"/>
                <w:sz w:val="18"/>
                <w:szCs w:val="18"/>
                <w:highlight w:val="none"/>
                <w:lang w:val="en-US" w:eastAsia="zh-CN"/>
              </w:rPr>
            </w:r>
            <w:r/>
          </w:p>
        </w:tc>
        <w:tc>
          <w:tcPr>
            <w:shd w:val="clear" w:color="auto" w:fill="ffffff"/>
            <w:tcW w:w="851" w:type="dxa"/>
            <w:vAlign w:val="center"/>
            <w:textDirection w:val="lrTb"/>
            <w:noWrap w:val="false"/>
          </w:tcPr>
          <w:p>
            <w:pPr>
              <w:pStyle w:val="1083"/>
              <w:ind w:left="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叶片</w:t>
            </w:r>
            <w:r>
              <w:rPr>
                <w:rFonts w:ascii="宋体" w:hAnsi="宋体" w:eastAsia="宋体" w:cs="宋体"/>
                <w:color w:val="000000"/>
                <w:sz w:val="18"/>
                <w:szCs w:val="18"/>
                <w:highlight w:val="none"/>
                <w:lang w:eastAsia="zh-CN"/>
              </w:rPr>
            </w:r>
            <w:r/>
          </w:p>
        </w:tc>
        <w:tc>
          <w:tcPr>
            <w:shd w:val="clear" w:color="auto" w:fill="ffffff"/>
            <w:tcW w:w="1276" w:type="dxa"/>
            <w:vAlign w:val="center"/>
            <w:textDirection w:val="lrTb"/>
            <w:noWrap w:val="false"/>
          </w:tcPr>
          <w:p>
            <w:pPr>
              <w:pStyle w:val="1083"/>
              <w:jc w:val="center"/>
              <w:spacing w:line="240" w:lineRule="auto"/>
              <w:shd w:val="clear" w:color="auto" w:fill="auto"/>
              <w:tabs>
                <w:tab w:val="left" w:pos="1720" w:leader="none"/>
              </w:tabs>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4月〜9月</w:t>
            </w:r>
            <w:r>
              <w:rPr>
                <w:rFonts w:hint="eastAsia" w:ascii="宋体" w:hAnsi="宋体" w:eastAsia="宋体" w:cs="宋体"/>
                <w:color w:val="000000"/>
                <w:sz w:val="18"/>
                <w:szCs w:val="18"/>
                <w:highlight w:val="none"/>
                <w:lang w:eastAsia="zh-CN"/>
              </w:rPr>
              <w:tab/>
            </w:r>
            <w:r>
              <w:rPr>
                <w:rFonts w:hint="eastAsia" w:ascii="宋体" w:hAnsi="宋体" w:eastAsia="宋体" w:cs="宋体"/>
                <w:color w:val="000000"/>
                <w:sz w:val="18"/>
                <w:szCs w:val="18"/>
                <w:highlight w:val="none"/>
                <w:lang w:val="en-US" w:eastAsia="en-US" w:bidi="en-US"/>
              </w:rPr>
              <w:t xml:space="preserve">■</w:t>
            </w:r>
            <w:r>
              <w:rPr>
                <w:rFonts w:ascii="宋体" w:hAnsi="宋体" w:eastAsia="宋体" w:cs="宋体"/>
                <w:color w:val="000000"/>
                <w:sz w:val="18"/>
                <w:szCs w:val="18"/>
                <w:highlight w:val="none"/>
                <w:lang w:eastAsia="zh-CN"/>
              </w:rPr>
            </w:r>
            <w:r/>
          </w:p>
        </w:tc>
        <w:tc>
          <w:tcPr>
            <w:shd w:val="clear" w:color="auto" w:fill="ffffff"/>
            <w:tcW w:w="4688" w:type="dxa"/>
            <w:vAlign w:val="center"/>
            <w:textDirection w:val="lrTb"/>
            <w:noWrap w:val="false"/>
          </w:tcPr>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成虫发生期用黑光灯成虫：人工摘除植株上的蛹茧和卵块；低龄幼虫期喷施20%除虫脲悬浮剂7000 倍液</w:t>
            </w:r>
            <w:r>
              <w:rPr>
                <w:rFonts w:hint="eastAsia" w:ascii="宋体" w:hAnsi="宋体" w:eastAsia="宋体" w:cs="宋体"/>
                <w:color w:val="000000"/>
                <w:sz w:val="18"/>
                <w:szCs w:val="18"/>
                <w:highlight w:val="none"/>
                <w:lang w:val="en-US" w:eastAsia="zh-CN" w:bidi="en-US"/>
              </w:rPr>
              <w:t xml:space="preserve">，Bt</w:t>
            </w:r>
            <w:r>
              <w:rPr>
                <w:rFonts w:hint="eastAsia" w:ascii="宋体" w:hAnsi="宋体" w:eastAsia="宋体" w:cs="宋体"/>
                <w:color w:val="000000"/>
                <w:sz w:val="18"/>
                <w:szCs w:val="18"/>
                <w:highlight w:val="none"/>
                <w:lang w:eastAsia="zh-CN"/>
              </w:rPr>
              <w:t xml:space="preserve">乳剂500倍液，幼虫期喷施</w:t>
            </w:r>
            <w:r>
              <w:rPr>
                <w:rFonts w:hint="eastAsia" w:ascii="宋体" w:hAnsi="宋体" w:eastAsia="宋体" w:cs="宋体"/>
                <w:color w:val="000000"/>
                <w:sz w:val="18"/>
                <w:szCs w:val="18"/>
                <w:highlight w:val="none"/>
                <w:lang w:val="en-US" w:eastAsia="zh-CN" w:bidi="en-US"/>
              </w:rPr>
              <w:t xml:space="preserve">2. </w:t>
            </w:r>
            <w:r>
              <w:rPr>
                <w:rFonts w:hint="eastAsia" w:ascii="宋体" w:hAnsi="宋体" w:eastAsia="宋体" w:cs="宋体"/>
                <w:color w:val="000000"/>
                <w:sz w:val="18"/>
                <w:szCs w:val="18"/>
                <w:highlight w:val="none"/>
                <w:lang w:eastAsia="zh-CN"/>
              </w:rPr>
              <w:t xml:space="preserve">5%。高效氯氟氰菊酯微乳剂3000倍液。</w:t>
            </w:r>
            <w:r>
              <w:rPr>
                <w:rFonts w:ascii="宋体" w:hAnsi="宋体" w:eastAsia="宋体" w:cs="宋体"/>
                <w:color w:val="000000"/>
                <w:sz w:val="18"/>
                <w:szCs w:val="18"/>
                <w:highlight w:val="none"/>
                <w:lang w:eastAsia="zh-CN"/>
              </w:rPr>
            </w:r>
            <w:r/>
          </w:p>
        </w:tc>
      </w:tr>
      <w:tr>
        <w:trPr>
          <w:trHeight w:val="1269" w:hRule="exact"/>
        </w:trPr>
        <w:tc>
          <w:tcPr>
            <w:shd w:val="clear" w:color="auto" w:fill="ffffff"/>
            <w:tcW w:w="1013"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棉铃虫</w:t>
            </w:r>
            <w:r>
              <w:rPr>
                <w:rFonts w:ascii="宋体" w:hAnsi="宋体" w:eastAsia="宋体" w:cs="宋体"/>
                <w:color w:val="000000"/>
                <w:sz w:val="18"/>
                <w:szCs w:val="18"/>
                <w:highlight w:val="none"/>
                <w:lang w:eastAsia="zh-CN"/>
              </w:rPr>
            </w:r>
            <w:r/>
          </w:p>
        </w:tc>
        <w:tc>
          <w:tcPr>
            <w:shd w:val="clear" w:color="auto" w:fill="ffffff"/>
            <w:tcW w:w="2163" w:type="dxa"/>
            <w:vAlign w:val="center"/>
            <w:textDirection w:val="lrTb"/>
            <w:noWrap w:val="false"/>
          </w:tcPr>
          <w:p>
            <w:pPr>
              <w:pStyle w:val="1083"/>
              <w:ind w:left="142" w:firstLine="2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棉铃虫</w:t>
            </w:r>
            <w:r>
              <w:rPr>
                <w:rFonts w:ascii="宋体" w:hAnsi="宋体" w:eastAsia="宋体" w:cs="宋体"/>
                <w:color w:val="000000"/>
                <w:sz w:val="18"/>
                <w:szCs w:val="18"/>
                <w:highlight w:val="none"/>
                <w:lang w:eastAsia="zh-CN"/>
              </w:rPr>
            </w:r>
            <w:r/>
          </w:p>
          <w:p>
            <w:pPr>
              <w:pStyle w:val="1083"/>
              <w:ind w:left="142" w:firstLine="2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en-US" w:bidi="en-US"/>
              </w:rPr>
              <w:t xml:space="preserve">Heliothis armigora</w:t>
            </w:r>
            <w:r>
              <w:rPr>
                <w:rFonts w:ascii="宋体" w:hAnsi="宋体" w:eastAsia="宋体" w:cs="宋体"/>
                <w:color w:val="000000"/>
                <w:sz w:val="18"/>
                <w:szCs w:val="18"/>
                <w:highlight w:val="none"/>
                <w:lang w:eastAsia="zh-CN"/>
              </w:rPr>
            </w:r>
            <w:r/>
          </w:p>
        </w:tc>
        <w:tc>
          <w:tcPr>
            <w:shd w:val="clear" w:color="auto" w:fill="ffffff"/>
            <w:tcW w:w="851" w:type="dxa"/>
            <w:vAlign w:val="center"/>
            <w:textDirection w:val="lrTb"/>
            <w:noWrap w:val="false"/>
          </w:tcPr>
          <w:p>
            <w:pPr>
              <w:pStyle w:val="1083"/>
              <w:ind w:left="0"/>
              <w:jc w:val="center"/>
              <w:spacing w:after="16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嫩茎、叶、</w:t>
            </w:r>
            <w:r>
              <w:rPr>
                <w:rFonts w:ascii="宋体" w:hAnsi="宋体" w:eastAsia="宋体" w:cs="宋体"/>
                <w:color w:val="000000"/>
                <w:sz w:val="18"/>
                <w:szCs w:val="18"/>
                <w:highlight w:val="none"/>
                <w:lang w:eastAsia="zh-CN"/>
              </w:rPr>
            </w:r>
            <w:r/>
          </w:p>
          <w:p>
            <w:pPr>
              <w:pStyle w:val="1083"/>
              <w:ind w:left="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花蕾。</w:t>
            </w:r>
            <w:r>
              <w:rPr>
                <w:rFonts w:ascii="宋体" w:hAnsi="宋体" w:eastAsia="宋体" w:cs="宋体"/>
                <w:color w:val="000000"/>
                <w:sz w:val="18"/>
                <w:szCs w:val="18"/>
                <w:highlight w:val="none"/>
                <w:lang w:eastAsia="zh-CN"/>
              </w:rPr>
            </w:r>
            <w:r/>
          </w:p>
        </w:tc>
        <w:tc>
          <w:tcPr>
            <w:shd w:val="clear" w:color="auto" w:fill="ffffff"/>
            <w:tcW w:w="1276" w:type="dxa"/>
            <w:vAlign w:val="center"/>
            <w:textDirection w:val="lrTb"/>
            <w:noWrap w:val="false"/>
          </w:tcPr>
          <w:p>
            <w:pPr>
              <w:pStyle w:val="108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5月〜9</w:t>
            </w:r>
            <w:r>
              <w:rPr>
                <w:rFonts w:hint="eastAsia" w:ascii="宋体" w:hAnsi="宋体" w:eastAsia="宋体" w:cs="宋体"/>
                <w:color w:val="000000"/>
                <w:sz w:val="18"/>
                <w:szCs w:val="18"/>
                <w:highlight w:val="none"/>
                <w:lang w:val="en-US" w:eastAsia="zh-CN" w:bidi="en-US"/>
              </w:rPr>
              <w:t xml:space="preserve">月</w:t>
            </w:r>
            <w:r>
              <w:rPr>
                <w:rFonts w:ascii="宋体" w:hAnsi="宋体" w:eastAsia="宋体" w:cs="宋体"/>
                <w:color w:val="000000"/>
                <w:sz w:val="18"/>
                <w:szCs w:val="18"/>
                <w:highlight w:val="none"/>
                <w:lang w:eastAsia="zh-CN"/>
              </w:rPr>
            </w:r>
            <w:r/>
          </w:p>
        </w:tc>
        <w:tc>
          <w:tcPr>
            <w:shd w:val="clear" w:color="auto" w:fill="ffffff"/>
            <w:tcW w:w="4688" w:type="dxa"/>
            <w:vAlign w:val="center"/>
            <w:textDirection w:val="lrTb"/>
            <w:noWrap w:val="false"/>
          </w:tcPr>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成虫发生期用黑光灯诱杀成虫；或采用性引诱剂诱杀成虫；低龄幼虫期喷施20%除虫脲悬浮剂</w:t>
            </w:r>
            <w:r>
              <w:rPr>
                <w:rFonts w:hint="eastAsia" w:ascii="宋体" w:hAnsi="宋体" w:eastAsia="宋体" w:cs="宋体"/>
                <w:color w:val="000000"/>
                <w:sz w:val="18"/>
                <w:szCs w:val="18"/>
                <w:highlight w:val="none"/>
                <w:lang w:eastAsia="zh-CN"/>
              </w:rPr>
              <w:br w:type="textWrapping" w:clear="all"/>
            </w:r>
            <w:r>
              <w:rPr>
                <w:rFonts w:hint="eastAsia" w:ascii="宋体" w:hAnsi="宋体" w:eastAsia="宋体" w:cs="宋体"/>
                <w:color w:val="000000"/>
                <w:sz w:val="18"/>
                <w:szCs w:val="18"/>
                <w:highlight w:val="none"/>
                <w:lang w:eastAsia="zh-CN"/>
              </w:rPr>
              <w:t xml:space="preserve">7000倍液，</w:t>
            </w:r>
            <w:r>
              <w:rPr>
                <w:rFonts w:hint="eastAsia" w:ascii="宋体" w:hAnsi="宋体" w:eastAsia="宋体" w:cs="宋体"/>
                <w:color w:val="000000"/>
                <w:sz w:val="18"/>
                <w:szCs w:val="18"/>
                <w:highlight w:val="none"/>
                <w:lang w:val="en-US" w:eastAsia="zh-CN" w:bidi="en-US"/>
              </w:rPr>
              <w:t xml:space="preserve">Bt</w:t>
            </w:r>
            <w:r>
              <w:rPr>
                <w:rFonts w:hint="eastAsia" w:ascii="宋体" w:hAnsi="宋体" w:eastAsia="宋体" w:cs="宋体"/>
                <w:color w:val="000000"/>
                <w:sz w:val="18"/>
                <w:szCs w:val="18"/>
                <w:highlight w:val="none"/>
                <w:lang w:eastAsia="zh-CN"/>
              </w:rPr>
              <w:t xml:space="preserve">乳剂500倍液，幼虫期喷施</w:t>
            </w:r>
            <w:r>
              <w:rPr>
                <w:rFonts w:hint="eastAsia" w:ascii="宋体" w:hAnsi="宋体" w:eastAsia="宋体" w:cs="宋体"/>
                <w:color w:val="000000"/>
                <w:sz w:val="18"/>
                <w:szCs w:val="18"/>
                <w:highlight w:val="none"/>
                <w:lang w:val="en-US" w:eastAsia="zh-CN" w:bidi="en-US"/>
              </w:rPr>
              <w:t xml:space="preserve">2.5</w:t>
            </w:r>
            <w:r>
              <w:rPr>
                <w:rFonts w:hint="eastAsia" w:ascii="宋体" w:hAnsi="宋体" w:eastAsia="宋体" w:cs="宋体"/>
                <w:color w:val="000000"/>
                <w:sz w:val="18"/>
                <w:szCs w:val="18"/>
                <w:highlight w:val="none"/>
                <w:lang w:eastAsia="zh-CN"/>
              </w:rPr>
              <w:t xml:space="preserve">%</w:t>
            </w:r>
            <w:r>
              <w:rPr>
                <w:rFonts w:ascii="宋体" w:hAnsi="宋体" w:eastAsia="宋体" w:cs="宋体"/>
                <w:color w:val="000000"/>
                <w:sz w:val="18"/>
                <w:szCs w:val="18"/>
                <w:highlight w:val="none"/>
                <w:lang w:eastAsia="zh-CN"/>
              </w:rPr>
            </w:r>
            <w:r/>
          </w:p>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高效氯氟氰菊酯微乳剂3000倍液。</w:t>
            </w:r>
            <w:r>
              <w:rPr>
                <w:rFonts w:ascii="宋体" w:hAnsi="宋体" w:eastAsia="宋体" w:cs="宋体"/>
                <w:color w:val="000000"/>
                <w:sz w:val="18"/>
                <w:szCs w:val="18"/>
                <w:highlight w:val="none"/>
                <w:lang w:eastAsia="zh-CN"/>
              </w:rPr>
            </w:r>
            <w:r/>
          </w:p>
        </w:tc>
      </w:tr>
      <w:tr>
        <w:trPr>
          <w:trHeight w:val="1747" w:hRule="exact"/>
        </w:trPr>
        <w:tc>
          <w:tcPr>
            <w:shd w:val="clear" w:color="auto" w:fill="ffffff"/>
            <w:tcW w:w="1013"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夜蛾</w:t>
            </w:r>
            <w:r>
              <w:rPr>
                <w:rFonts w:ascii="宋体" w:hAnsi="宋体" w:eastAsia="宋体" w:cs="宋体"/>
                <w:color w:val="000000"/>
                <w:sz w:val="18"/>
                <w:szCs w:val="18"/>
                <w:highlight w:val="none"/>
                <w:lang w:eastAsia="zh-CN"/>
              </w:rPr>
            </w:r>
            <w:r/>
          </w:p>
        </w:tc>
        <w:tc>
          <w:tcPr>
            <w:shd w:val="clear" w:color="auto" w:fill="ffffff"/>
            <w:tcW w:w="2163" w:type="dxa"/>
            <w:vAlign w:val="center"/>
            <w:textDirection w:val="lrTb"/>
            <w:noWrap w:val="false"/>
          </w:tcPr>
          <w:p>
            <w:pPr>
              <w:pStyle w:val="1083"/>
              <w:ind w:left="142" w:firstLine="23"/>
              <w:jc w:val="center"/>
              <w:spacing w:after="100" w:line="20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斜纹夜蛾</w:t>
            </w:r>
            <w:r>
              <w:rPr>
                <w:rFonts w:ascii="宋体" w:hAnsi="宋体" w:eastAsia="宋体" w:cs="宋体"/>
                <w:color w:val="000000"/>
                <w:sz w:val="18"/>
                <w:szCs w:val="18"/>
                <w:highlight w:val="none"/>
                <w:lang w:eastAsia="zh-CN"/>
              </w:rPr>
            </w:r>
            <w:r/>
          </w:p>
          <w:p>
            <w:pPr>
              <w:pStyle w:val="1083"/>
              <w:ind w:left="142" w:firstLine="23"/>
              <w:jc w:val="center"/>
              <w:spacing w:after="280" w:line="20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en-US" w:bidi="en-US"/>
              </w:rPr>
              <w:t xml:space="preserve">Prode</w:t>
            </w:r>
            <w:r>
              <w:rPr>
                <w:rFonts w:hint="eastAsia" w:ascii="宋体" w:hAnsi="宋体" w:eastAsia="宋体" w:cs="宋体"/>
                <w:i/>
                <w:iCs/>
                <w:color w:val="000000"/>
                <w:sz w:val="18"/>
                <w:szCs w:val="18"/>
                <w:highlight w:val="none"/>
                <w:lang w:val="en-US" w:eastAsia="zh-CN" w:bidi="en-US"/>
              </w:rPr>
              <w:t xml:space="preserve">nia</w:t>
            </w:r>
            <w:r>
              <w:rPr>
                <w:rFonts w:hint="eastAsia" w:ascii="宋体" w:hAnsi="宋体" w:eastAsia="宋体" w:cs="宋体"/>
                <w:i/>
                <w:iCs/>
                <w:color w:val="000000"/>
                <w:sz w:val="18"/>
                <w:szCs w:val="18"/>
                <w:highlight w:val="none"/>
                <w:lang w:val="en-US" w:eastAsia="en-US" w:bidi="en-US"/>
              </w:rPr>
              <w:t xml:space="preserve"> li</w:t>
            </w:r>
            <w:r>
              <w:rPr>
                <w:rFonts w:hint="eastAsia" w:ascii="宋体" w:hAnsi="宋体" w:eastAsia="宋体" w:cs="宋体"/>
                <w:i/>
                <w:iCs/>
                <w:color w:val="000000"/>
                <w:sz w:val="18"/>
                <w:szCs w:val="18"/>
                <w:highlight w:val="none"/>
                <w:lang w:val="en-US" w:eastAsia="zh-CN" w:bidi="en-US"/>
              </w:rPr>
              <w:t xml:space="preserve">tura</w:t>
            </w:r>
            <w:r>
              <w:rPr>
                <w:rFonts w:ascii="宋体" w:hAnsi="宋体" w:eastAsia="宋体" w:cs="宋体"/>
                <w:color w:val="000000"/>
                <w:sz w:val="18"/>
                <w:szCs w:val="18"/>
                <w:highlight w:val="none"/>
                <w:lang w:eastAsia="zh-CN"/>
              </w:rPr>
            </w:r>
            <w:r/>
          </w:p>
          <w:p>
            <w:pPr>
              <w:pStyle w:val="1083"/>
              <w:ind w:left="142" w:firstLine="23"/>
              <w:jc w:val="center"/>
              <w:spacing w:after="100" w:line="20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甜菜夜蛾</w:t>
            </w:r>
            <w:r>
              <w:rPr>
                <w:rFonts w:ascii="宋体" w:hAnsi="宋体" w:eastAsia="宋体" w:cs="宋体"/>
                <w:color w:val="000000"/>
                <w:sz w:val="18"/>
                <w:szCs w:val="18"/>
                <w:highlight w:val="none"/>
                <w:lang w:eastAsia="zh-CN"/>
              </w:rPr>
            </w:r>
            <w:r/>
          </w:p>
          <w:p>
            <w:pPr>
              <w:pStyle w:val="1083"/>
              <w:ind w:left="142" w:firstLine="23"/>
              <w:jc w:val="center"/>
              <w:spacing w:after="180" w:line="20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en-US" w:bidi="en-US"/>
              </w:rPr>
              <w:t xml:space="preserve">Spodoptera exigua</w:t>
            </w:r>
            <w:r>
              <w:rPr>
                <w:rFonts w:ascii="宋体" w:hAnsi="宋体" w:eastAsia="宋体" w:cs="宋体"/>
                <w:color w:val="000000"/>
                <w:sz w:val="18"/>
                <w:szCs w:val="18"/>
                <w:highlight w:val="none"/>
                <w:lang w:eastAsia="zh-CN"/>
              </w:rPr>
            </w:r>
            <w:r/>
          </w:p>
        </w:tc>
        <w:tc>
          <w:tcPr>
            <w:shd w:val="clear" w:color="auto" w:fill="ffffff"/>
            <w:tcW w:w="851" w:type="dxa"/>
            <w:vAlign w:val="center"/>
            <w:textDirection w:val="lrTb"/>
            <w:noWrap w:val="false"/>
          </w:tcPr>
          <w:p>
            <w:pPr>
              <w:pStyle w:val="1083"/>
              <w:ind w:left="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叶、花蕾。</w:t>
            </w:r>
            <w:r>
              <w:rPr>
                <w:rFonts w:ascii="宋体" w:hAnsi="宋体" w:eastAsia="宋体" w:cs="宋体"/>
                <w:color w:val="000000"/>
                <w:sz w:val="18"/>
                <w:szCs w:val="18"/>
                <w:highlight w:val="none"/>
                <w:lang w:eastAsia="zh-CN"/>
              </w:rPr>
            </w:r>
            <w:r/>
          </w:p>
        </w:tc>
        <w:tc>
          <w:tcPr>
            <w:shd w:val="clear" w:color="auto" w:fill="ffffff"/>
            <w:tcW w:w="1276" w:type="dxa"/>
            <w:vAlign w:val="center"/>
            <w:textDirection w:val="lrTb"/>
            <w:noWrap w:val="false"/>
          </w:tcPr>
          <w:p>
            <w:pPr>
              <w:pStyle w:val="108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5月〜11月</w:t>
            </w:r>
            <w:r>
              <w:rPr>
                <w:rFonts w:ascii="宋体" w:hAnsi="宋体" w:eastAsia="宋体" w:cs="宋体"/>
                <w:color w:val="000000"/>
                <w:sz w:val="18"/>
                <w:szCs w:val="18"/>
                <w:highlight w:val="none"/>
                <w:lang w:eastAsia="zh-CN"/>
              </w:rPr>
            </w:r>
            <w:r/>
          </w:p>
        </w:tc>
        <w:tc>
          <w:tcPr>
            <w:shd w:val="clear" w:color="auto" w:fill="ffffff"/>
            <w:tcW w:w="4688" w:type="dxa"/>
            <w:vAlign w:val="center"/>
            <w:textDirection w:val="lrTb"/>
            <w:noWrap w:val="false"/>
          </w:tcPr>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成虫发生期用黑光灯诱杀成虫；低龄幼虫期喷施20%除虫脲悬浮液7000倍液，400亿孢子/克球形白僵菌</w:t>
            </w:r>
            <w:r>
              <w:rPr>
                <w:rFonts w:hint="eastAsia" w:ascii="宋体" w:hAnsi="宋体" w:eastAsia="宋体" w:cs="宋体"/>
                <w:color w:val="000000"/>
                <w:sz w:val="18"/>
                <w:szCs w:val="18"/>
                <w:highlight w:val="none"/>
                <w:lang w:val="en-US" w:eastAsia="zh-CN" w:bidi="en-US"/>
              </w:rPr>
              <w:t xml:space="preserve">1500</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2500 倍液</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Bt</w:t>
            </w:r>
            <w:r>
              <w:rPr>
                <w:rFonts w:hint="eastAsia" w:ascii="宋体" w:hAnsi="宋体" w:eastAsia="宋体" w:cs="宋体"/>
                <w:color w:val="000000"/>
                <w:sz w:val="18"/>
                <w:szCs w:val="18"/>
                <w:highlight w:val="none"/>
                <w:lang w:eastAsia="zh-CN"/>
              </w:rPr>
              <w:t xml:space="preserve">乳剂500 倍液，幼虫期喷施</w:t>
            </w:r>
            <w:r>
              <w:rPr>
                <w:rFonts w:hint="eastAsia" w:ascii="宋体" w:hAnsi="宋体" w:eastAsia="宋体" w:cs="宋体"/>
                <w:color w:val="000000"/>
                <w:sz w:val="18"/>
                <w:szCs w:val="18"/>
                <w:highlight w:val="none"/>
                <w:lang w:val="en-US" w:eastAsia="zh-CN" w:bidi="en-US"/>
              </w:rPr>
              <w:t xml:space="preserve">2.5</w:t>
            </w:r>
            <w:r>
              <w:rPr>
                <w:rFonts w:hint="eastAsia" w:ascii="宋体" w:hAnsi="宋体" w:eastAsia="宋体" w:cs="宋体"/>
                <w:color w:val="000000"/>
                <w:sz w:val="18"/>
                <w:szCs w:val="18"/>
                <w:highlight w:val="none"/>
                <w:lang w:eastAsia="zh-CN"/>
              </w:rPr>
              <w:t xml:space="preserve">%高效氯氟氰菊酯微乳剂3000倍液，21%噻虫嗪悬浮剂2000〜4000倍液，21%虫螨腈悬浮液</w:t>
            </w:r>
            <w:r>
              <w:rPr>
                <w:rFonts w:hint="eastAsia" w:ascii="宋体" w:hAnsi="宋体" w:eastAsia="宋体" w:cs="宋体"/>
                <w:color w:val="000000"/>
                <w:sz w:val="18"/>
                <w:szCs w:val="18"/>
                <w:highlight w:val="none"/>
                <w:lang w:val="en-US" w:eastAsia="zh-CN" w:bidi="en-US"/>
              </w:rPr>
              <w:t xml:space="preserve">3000</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4000</w:t>
            </w:r>
            <w:r>
              <w:rPr>
                <w:rFonts w:hint="eastAsia" w:ascii="宋体" w:hAnsi="宋体" w:eastAsia="宋体" w:cs="宋体"/>
                <w:color w:val="000000"/>
                <w:sz w:val="18"/>
                <w:szCs w:val="18"/>
                <w:highlight w:val="none"/>
                <w:lang w:eastAsia="zh-CN"/>
              </w:rPr>
              <w:t xml:space="preserve">倍液,20%氯虫苯甲酰胺悬浮剂</w:t>
            </w:r>
            <w:r>
              <w:rPr>
                <w:rFonts w:hint="eastAsia" w:ascii="宋体" w:hAnsi="宋体" w:eastAsia="宋体" w:cs="宋体"/>
                <w:color w:val="000000"/>
                <w:sz w:val="18"/>
                <w:szCs w:val="18"/>
                <w:highlight w:val="none"/>
                <w:lang w:val="en-US" w:eastAsia="zh-CN" w:bidi="en-US"/>
              </w:rPr>
              <w:t xml:space="preserve"> 8000</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10000</w:t>
            </w:r>
            <w:r>
              <w:rPr>
                <w:rFonts w:hint="eastAsia" w:ascii="宋体" w:hAnsi="宋体" w:eastAsia="宋体" w:cs="宋体"/>
                <w:color w:val="000000"/>
                <w:sz w:val="18"/>
                <w:szCs w:val="18"/>
                <w:highlight w:val="none"/>
                <w:lang w:eastAsia="zh-CN"/>
              </w:rPr>
              <w:t xml:space="preserve">倍液.</w:t>
            </w:r>
            <w:r>
              <w:rPr>
                <w:rFonts w:ascii="宋体" w:hAnsi="宋体" w:eastAsia="宋体" w:cs="宋体"/>
                <w:color w:val="000000"/>
                <w:sz w:val="18"/>
                <w:szCs w:val="18"/>
                <w:highlight w:val="none"/>
                <w:lang w:eastAsia="zh-CN"/>
              </w:rPr>
            </w:r>
            <w:r/>
          </w:p>
        </w:tc>
      </w:tr>
      <w:tr>
        <w:trPr>
          <w:trHeight w:val="1706" w:hRule="exact"/>
        </w:trPr>
        <w:tc>
          <w:tcPr>
            <w:shd w:val="clear" w:color="auto" w:fill="ffffff"/>
            <w:tcW w:w="1013" w:type="dxa"/>
            <w:vAlign w:val="center"/>
            <w:textDirection w:val="lrTb"/>
            <w:noWrap w:val="false"/>
          </w:tcPr>
          <w:p>
            <w:pPr>
              <w:pStyle w:val="1083"/>
              <w:ind w:left="160" w:firstLine="20"/>
              <w:jc w:val="center"/>
              <w:spacing w:after="16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金龟子</w:t>
            </w:r>
            <w:r>
              <w:rPr>
                <w:rFonts w:ascii="宋体" w:hAnsi="宋体" w:eastAsia="宋体" w:cs="宋体"/>
                <w:color w:val="000000"/>
                <w:sz w:val="18"/>
                <w:szCs w:val="18"/>
                <w:highlight w:val="none"/>
                <w:lang w:eastAsia="zh-CN"/>
              </w:rPr>
            </w:r>
            <w:r/>
          </w:p>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成虫</w:t>
            </w:r>
            <w:r>
              <w:rPr>
                <w:rFonts w:ascii="宋体" w:hAnsi="宋体" w:eastAsia="宋体" w:cs="宋体"/>
                <w:color w:val="000000"/>
                <w:sz w:val="18"/>
                <w:szCs w:val="18"/>
                <w:highlight w:val="none"/>
                <w:lang w:eastAsia="zh-CN"/>
              </w:rPr>
            </w:r>
            <w:r/>
          </w:p>
        </w:tc>
        <w:tc>
          <w:tcPr>
            <w:shd w:val="clear" w:color="auto" w:fill="ffffff"/>
            <w:tcW w:w="2163" w:type="dxa"/>
            <w:vAlign w:val="center"/>
            <w:textDirection w:val="lrTb"/>
            <w:noWrap w:val="false"/>
          </w:tcPr>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无斑弧丽金电</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i/>
                <w:iCs/>
                <w:color w:val="000000"/>
                <w:sz w:val="18"/>
                <w:szCs w:val="18"/>
                <w:highlight w:val="none"/>
                <w:lang w:val="en-US" w:eastAsia="zh-CN" w:bidi="en-US"/>
              </w:rPr>
            </w:pPr>
            <w:r>
              <w:rPr>
                <w:rFonts w:hint="eastAsia" w:ascii="宋体" w:hAnsi="宋体" w:eastAsia="宋体" w:cs="宋体"/>
                <w:i/>
                <w:iCs/>
                <w:color w:val="000000"/>
                <w:sz w:val="18"/>
                <w:szCs w:val="18"/>
                <w:highlight w:val="none"/>
                <w:lang w:val="en-US" w:eastAsia="en-US" w:bidi="en-US"/>
              </w:rPr>
              <w:t xml:space="preserve">Popi11ia mutans</w:t>
            </w:r>
            <w:r>
              <w:rPr>
                <w:rFonts w:ascii="宋体" w:hAnsi="宋体" w:eastAsia="宋体" w:cs="宋体"/>
                <w:i/>
                <w:iCs/>
                <w:color w:val="000000"/>
                <w:sz w:val="18"/>
                <w:szCs w:val="18"/>
                <w:highlight w:val="none"/>
                <w:lang w:val="en-US" w:eastAsia="zh-CN" w:bidi="en-US"/>
              </w:rPr>
            </w:r>
            <w:r/>
          </w:p>
          <w:p>
            <w:pPr>
              <w:pStyle w:val="1083"/>
              <w:ind w:left="142" w:firstLine="23"/>
              <w:jc w:val="center"/>
              <w:spacing w:line="280" w:lineRule="exact"/>
              <w:shd w:val="clear" w:color="auto" w:fill="auto"/>
              <w:rPr>
                <w:rFonts w:ascii="宋体" w:hAnsi="宋体" w:eastAsia="宋体" w:cs="宋体"/>
                <w:i/>
                <w:iCs/>
                <w:color w:val="000000"/>
                <w:sz w:val="18"/>
                <w:szCs w:val="18"/>
                <w:highlight w:val="none"/>
                <w:lang w:val="en-US" w:eastAsia="zh-CN" w:bidi="en-US"/>
              </w:rPr>
            </w:pPr>
            <w:r>
              <w:rPr>
                <w:rFonts w:hint="eastAsia" w:ascii="宋体" w:hAnsi="宋体" w:eastAsia="宋体" w:cs="宋体"/>
                <w:color w:val="000000"/>
                <w:sz w:val="18"/>
                <w:szCs w:val="18"/>
                <w:highlight w:val="none"/>
                <w:lang w:eastAsia="zh-CN"/>
              </w:rPr>
              <w:t xml:space="preserve">小靑花金色</w:t>
            </w:r>
            <w:r>
              <w:rPr>
                <w:rFonts w:hint="eastAsia" w:ascii="宋体" w:hAnsi="宋体" w:eastAsia="宋体" w:cs="宋体"/>
                <w:i/>
                <w:iCs/>
                <w:color w:val="000000"/>
                <w:sz w:val="18"/>
                <w:szCs w:val="18"/>
                <w:highlight w:val="none"/>
                <w:lang w:val="en-US" w:eastAsia="en-US" w:bidi="en-US"/>
              </w:rPr>
              <w:t xml:space="preserve">Oxy</w:t>
            </w:r>
            <w:r>
              <w:rPr>
                <w:rFonts w:hint="eastAsia" w:ascii="宋体" w:hAnsi="宋体" w:eastAsia="宋体" w:cs="宋体"/>
                <w:i/>
                <w:iCs/>
                <w:color w:val="000000"/>
                <w:sz w:val="18"/>
                <w:szCs w:val="18"/>
                <w:highlight w:val="none"/>
                <w:lang w:val="en-US" w:eastAsia="zh-CN" w:bidi="en-US"/>
              </w:rPr>
              <w:t xml:space="preserve">c</w:t>
            </w:r>
            <w:r>
              <w:rPr>
                <w:rFonts w:hint="eastAsia" w:ascii="宋体" w:hAnsi="宋体" w:eastAsia="宋体" w:cs="宋体"/>
                <w:i/>
                <w:iCs/>
                <w:color w:val="000000"/>
                <w:sz w:val="18"/>
                <w:szCs w:val="18"/>
                <w:highlight w:val="none"/>
                <w:lang w:val="en-US" w:eastAsia="en-US" w:bidi="en-US"/>
              </w:rPr>
              <w:t xml:space="preserve">etonia </w:t>
            </w:r>
            <w:r>
              <w:rPr>
                <w:rFonts w:hint="eastAsia" w:ascii="宋体" w:hAnsi="宋体" w:eastAsia="宋体" w:cs="宋体"/>
                <w:i/>
                <w:iCs/>
                <w:color w:val="000000"/>
                <w:sz w:val="18"/>
                <w:szCs w:val="18"/>
                <w:highlight w:val="none"/>
                <w:lang w:val="en-US" w:eastAsia="zh-CN" w:bidi="en-US"/>
              </w:rPr>
              <w:t xml:space="preserve">j</w:t>
            </w:r>
            <w:r>
              <w:rPr>
                <w:rFonts w:hint="eastAsia" w:ascii="宋体" w:hAnsi="宋体" w:eastAsia="宋体" w:cs="宋体"/>
                <w:i/>
                <w:iCs/>
                <w:color w:val="000000"/>
                <w:sz w:val="18"/>
                <w:szCs w:val="18"/>
                <w:highlight w:val="none"/>
                <w:lang w:val="en-US" w:eastAsia="en-US" w:bidi="en-US"/>
              </w:rPr>
              <w:t xml:space="preserve">ucunda</w:t>
            </w:r>
            <w:r>
              <w:rPr>
                <w:rFonts w:ascii="宋体" w:hAnsi="宋体" w:eastAsia="宋体" w:cs="宋体"/>
                <w:i/>
                <w:iCs/>
                <w:color w:val="000000"/>
                <w:sz w:val="18"/>
                <w:szCs w:val="18"/>
                <w:highlight w:val="none"/>
                <w:lang w:val="en-US" w:eastAsia="zh-CN" w:bidi="en-US"/>
              </w:rPr>
            </w:r>
            <w:r/>
          </w:p>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黑绒金龟子</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i/>
                <w:color w:val="000000"/>
                <w:sz w:val="18"/>
                <w:szCs w:val="18"/>
                <w:highlight w:val="none"/>
                <w:lang w:eastAsia="zh-CN"/>
              </w:rPr>
            </w:pPr>
            <w:r>
              <w:rPr>
                <w:rFonts w:hint="eastAsia" w:ascii="宋体" w:hAnsi="宋体" w:eastAsia="宋体" w:cs="宋体"/>
                <w:i/>
                <w:color w:val="000000"/>
                <w:sz w:val="18"/>
                <w:szCs w:val="18"/>
                <w:highlight w:val="none"/>
                <w:lang w:eastAsia="zh-CN"/>
              </w:rPr>
              <w:t xml:space="preserve">Serica orientalis</w:t>
            </w:r>
            <w:r>
              <w:rPr>
                <w:rFonts w:ascii="宋体" w:hAnsi="宋体" w:eastAsia="宋体" w:cs="宋体"/>
                <w:i/>
                <w:color w:val="000000"/>
                <w:sz w:val="18"/>
                <w:szCs w:val="18"/>
                <w:highlight w:val="none"/>
                <w:lang w:eastAsia="zh-CN"/>
              </w:rPr>
            </w:r>
            <w:r/>
          </w:p>
        </w:tc>
        <w:tc>
          <w:tcPr>
            <w:shd w:val="clear" w:color="auto" w:fill="ffffff"/>
            <w:tcW w:w="851" w:type="dxa"/>
            <w:vAlign w:val="center"/>
            <w:textDirection w:val="lrTb"/>
            <w:noWrap w:val="false"/>
          </w:tcPr>
          <w:p>
            <w:pPr>
              <w:pStyle w:val="1083"/>
              <w:ind w:left="0"/>
              <w:jc w:val="center"/>
              <w:spacing w:after="16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花器、叶</w:t>
            </w:r>
            <w:r>
              <w:rPr>
                <w:rFonts w:ascii="宋体" w:hAnsi="宋体" w:eastAsia="宋体" w:cs="宋体"/>
                <w:color w:val="000000"/>
                <w:sz w:val="18"/>
                <w:szCs w:val="18"/>
                <w:highlight w:val="none"/>
                <w:lang w:eastAsia="zh-CN"/>
              </w:rPr>
            </w:r>
            <w:r/>
          </w:p>
          <w:p>
            <w:pPr>
              <w:pStyle w:val="1083"/>
              <w:ind w:left="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片.</w:t>
            </w:r>
            <w:r>
              <w:rPr>
                <w:rFonts w:ascii="宋体" w:hAnsi="宋体" w:eastAsia="宋体" w:cs="宋体"/>
                <w:color w:val="000000"/>
                <w:sz w:val="18"/>
                <w:szCs w:val="18"/>
                <w:highlight w:val="none"/>
                <w:lang w:eastAsia="zh-CN"/>
              </w:rPr>
            </w:r>
            <w:r/>
          </w:p>
        </w:tc>
        <w:tc>
          <w:tcPr>
            <w:shd w:val="clear" w:color="auto" w:fill="ffffff"/>
            <w:tcW w:w="1276" w:type="dxa"/>
            <w:vAlign w:val="center"/>
            <w:textDirection w:val="lrTb"/>
            <w:noWrap w:val="false"/>
          </w:tcPr>
          <w:p>
            <w:pPr>
              <w:pStyle w:val="108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4月〜7月</w:t>
            </w:r>
            <w:r>
              <w:rPr>
                <w:rFonts w:ascii="宋体" w:hAnsi="宋体" w:eastAsia="宋体" w:cs="宋体"/>
                <w:color w:val="000000"/>
                <w:sz w:val="18"/>
                <w:szCs w:val="18"/>
                <w:highlight w:val="none"/>
                <w:lang w:eastAsia="zh-CN"/>
              </w:rPr>
            </w:r>
            <w:r/>
          </w:p>
        </w:tc>
        <w:tc>
          <w:tcPr>
            <w:shd w:val="clear" w:color="auto" w:fill="ffffff"/>
            <w:tcW w:w="4688" w:type="dxa"/>
            <w:vAlign w:val="center"/>
            <w:textDirection w:val="lrTb"/>
            <w:noWrap w:val="false"/>
          </w:tcPr>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成虫发生期人工捕杀成虫或</w:t>
            </w:r>
            <w:r>
              <w:rPr>
                <w:rFonts w:hint="eastAsia" w:ascii="宋体" w:hAnsi="宋体" w:eastAsia="宋体" w:cs="宋体"/>
                <w:color w:val="000000"/>
                <w:sz w:val="18"/>
                <w:szCs w:val="18"/>
                <w:highlight w:val="none"/>
                <w:lang w:val="en-US" w:eastAsia="zh-CN" w:bidi="en-US"/>
              </w:rPr>
              <w:t xml:space="preserve">黑</w:t>
            </w:r>
            <w:r>
              <w:rPr>
                <w:rFonts w:hint="eastAsia" w:ascii="宋体" w:hAnsi="宋体" w:eastAsia="宋体" w:cs="宋体"/>
                <w:color w:val="000000"/>
                <w:sz w:val="18"/>
                <w:szCs w:val="18"/>
                <w:highlight w:val="none"/>
                <w:lang w:eastAsia="zh-CN"/>
              </w:rPr>
              <w:t xml:space="preserve">光灯诱杀成虫，10%吡虫啉可湿性粉剂2000倍液，1.8</w:t>
            </w:r>
            <w:r>
              <w:rPr>
                <w:rFonts w:hint="eastAsia" w:ascii="宋体" w:hAnsi="宋体" w:eastAsia="宋体" w:cs="宋体"/>
                <w:color w:val="000000"/>
                <w:sz w:val="18"/>
                <w:szCs w:val="18"/>
                <w:highlight w:val="none"/>
                <w:lang w:val="en-US" w:eastAsia="zh-CN" w:bidi="en-US"/>
              </w:rPr>
              <w:t xml:space="preserve">%</w:t>
            </w:r>
            <w:r>
              <w:rPr>
                <w:rFonts w:hint="eastAsia" w:ascii="宋体" w:hAnsi="宋体" w:eastAsia="宋体" w:cs="宋体"/>
                <w:color w:val="000000"/>
                <w:sz w:val="18"/>
                <w:szCs w:val="18"/>
                <w:highlight w:val="none"/>
                <w:lang w:eastAsia="zh-CN"/>
              </w:rPr>
              <w:t xml:space="preserve">阿维菌素乳油</w:t>
            </w:r>
            <w:r>
              <w:rPr>
                <w:rFonts w:hint="eastAsia" w:ascii="宋体" w:hAnsi="宋体" w:eastAsia="宋体" w:cs="宋体"/>
                <w:color w:val="000000"/>
                <w:sz w:val="18"/>
                <w:szCs w:val="18"/>
                <w:highlight w:val="none"/>
                <w:lang w:val="en-US" w:eastAsia="zh-CN" w:bidi="en-US"/>
              </w:rPr>
              <w:t xml:space="preserve">3000-5000</w:t>
            </w:r>
            <w:r>
              <w:rPr>
                <w:rFonts w:hint="eastAsia" w:ascii="宋体" w:hAnsi="宋体" w:eastAsia="宋体" w:cs="宋体"/>
                <w:color w:val="000000"/>
                <w:sz w:val="18"/>
                <w:szCs w:val="18"/>
                <w:highlight w:val="none"/>
                <w:lang w:eastAsia="zh-CN"/>
              </w:rPr>
              <w:t xml:space="preserve">倍液。</w:t>
            </w:r>
            <w:r>
              <w:rPr>
                <w:rFonts w:ascii="宋体" w:hAnsi="宋体" w:eastAsia="宋体" w:cs="宋体"/>
                <w:color w:val="000000"/>
                <w:sz w:val="18"/>
                <w:szCs w:val="18"/>
                <w:highlight w:val="none"/>
                <w:lang w:eastAsia="zh-CN"/>
              </w:rPr>
            </w:r>
            <w:r/>
          </w:p>
        </w:tc>
      </w:tr>
      <w:tr>
        <w:trPr>
          <w:trHeight w:val="1779" w:hRule="exact"/>
        </w:trPr>
        <w:tc>
          <w:tcPr>
            <w:shd w:val="clear" w:color="auto" w:fill="ffffff"/>
            <w:tcW w:w="1013" w:type="dxa"/>
            <w:vAlign w:val="center"/>
            <w:textDirection w:val="lrTb"/>
            <w:noWrap w:val="false"/>
          </w:tcPr>
          <w:p>
            <w:pPr>
              <w:pStyle w:val="1083"/>
              <w:ind w:left="160" w:firstLine="20"/>
              <w:jc w:val="center"/>
              <w:spacing w:after="12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金龟子</w:t>
            </w:r>
            <w:r>
              <w:rPr>
                <w:rFonts w:ascii="宋体" w:hAnsi="宋体" w:eastAsia="宋体" w:cs="宋体"/>
                <w:color w:val="000000"/>
                <w:sz w:val="18"/>
                <w:szCs w:val="18"/>
                <w:highlight w:val="none"/>
                <w:lang w:eastAsia="zh-CN"/>
              </w:rPr>
            </w:r>
            <w:r/>
          </w:p>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幼虫</w:t>
            </w:r>
            <w:r>
              <w:rPr>
                <w:rFonts w:ascii="宋体" w:hAnsi="宋体" w:eastAsia="宋体" w:cs="宋体"/>
                <w:color w:val="000000"/>
                <w:sz w:val="18"/>
                <w:szCs w:val="18"/>
                <w:highlight w:val="none"/>
                <w:lang w:eastAsia="zh-CN"/>
              </w:rPr>
            </w:r>
            <w:r/>
          </w:p>
        </w:tc>
        <w:tc>
          <w:tcPr>
            <w:shd w:val="clear" w:color="auto" w:fill="ffffff"/>
            <w:tcW w:w="2163" w:type="dxa"/>
            <w:vAlign w:val="top"/>
            <w:textDirection w:val="lrTb"/>
            <w:noWrap w:val="false"/>
          </w:tcPr>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铜绿丽金龟</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i/>
                <w:iCs/>
                <w:color w:val="000000"/>
                <w:sz w:val="18"/>
                <w:szCs w:val="18"/>
                <w:highlight w:val="none"/>
                <w:lang w:val="en-US" w:eastAsia="zh-CN" w:bidi="en-US"/>
              </w:rPr>
            </w:pPr>
            <w:r>
              <w:rPr>
                <w:rFonts w:hint="eastAsia" w:ascii="宋体" w:hAnsi="宋体" w:eastAsia="宋体" w:cs="宋体"/>
                <w:i/>
                <w:iCs/>
                <w:color w:val="000000"/>
                <w:sz w:val="18"/>
                <w:szCs w:val="18"/>
                <w:highlight w:val="none"/>
                <w:lang w:val="en-US" w:eastAsia="zh-CN" w:bidi="en-US"/>
              </w:rPr>
              <w:t xml:space="preserve">Anomala. corpulenta</w:t>
            </w:r>
            <w:r>
              <w:rPr>
                <w:rFonts w:ascii="宋体" w:hAnsi="宋体" w:eastAsia="宋体" w:cs="宋体"/>
                <w:i/>
                <w:iCs/>
                <w:color w:val="000000"/>
                <w:sz w:val="18"/>
                <w:szCs w:val="18"/>
                <w:highlight w:val="none"/>
                <w:lang w:val="en-US" w:eastAsia="zh-CN" w:bidi="en-US"/>
              </w:rPr>
            </w:r>
            <w:r/>
          </w:p>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毛黄鳃金龟</w:t>
            </w:r>
            <w:r>
              <w:rPr>
                <w:rFonts w:hint="eastAsia" w:ascii="宋体" w:hAnsi="宋体" w:eastAsia="宋体" w:cs="宋体"/>
                <w:i/>
                <w:iCs/>
                <w:color w:val="000000"/>
                <w:sz w:val="18"/>
                <w:szCs w:val="18"/>
                <w:highlight w:val="none"/>
                <w:lang w:val="en-US" w:eastAsia="zh-CN" w:bidi="en-US"/>
              </w:rPr>
              <w:t xml:space="preserve">Holotricha trichophora</w:t>
            </w:r>
            <w:r>
              <w:rPr>
                <w:rFonts w:ascii="宋体" w:hAnsi="宋体" w:eastAsia="宋体" w:cs="宋体"/>
                <w:color w:val="000000"/>
                <w:sz w:val="18"/>
                <w:szCs w:val="18"/>
                <w:highlight w:val="none"/>
                <w:lang w:eastAsia="zh-CN"/>
              </w:rPr>
            </w:r>
            <w:r/>
          </w:p>
          <w:p>
            <w:pPr>
              <w:pStyle w:val="1083"/>
              <w:ind w:firstLine="20"/>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白星花金龟</w:t>
            </w:r>
            <w:r>
              <w:rPr>
                <w:rFonts w:ascii="宋体" w:hAnsi="宋体" w:eastAsia="宋体" w:cs="宋体"/>
                <w:color w:val="000000"/>
                <w:sz w:val="18"/>
                <w:szCs w:val="18"/>
                <w:highlight w:val="none"/>
                <w:lang w:eastAsia="zh-CN"/>
              </w:rPr>
            </w:r>
            <w:r/>
          </w:p>
          <w:p>
            <w:pPr>
              <w:pStyle w:val="1083"/>
              <w:ind w:firstLine="20"/>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zh-CN" w:bidi="en-US"/>
              </w:rPr>
              <w:t xml:space="preserve">Protaetia brevitarsis</w:t>
            </w:r>
            <w:r>
              <w:rPr>
                <w:rFonts w:ascii="宋体" w:hAnsi="宋体" w:eastAsia="宋体" w:cs="宋体"/>
                <w:color w:val="000000"/>
                <w:sz w:val="18"/>
                <w:szCs w:val="18"/>
                <w:highlight w:val="none"/>
                <w:lang w:eastAsia="zh-CN"/>
              </w:rPr>
            </w:r>
            <w:r/>
          </w:p>
        </w:tc>
        <w:tc>
          <w:tcPr>
            <w:shd w:val="clear" w:color="auto" w:fill="ffffff"/>
            <w:tcW w:w="851" w:type="dxa"/>
            <w:vAlign w:val="center"/>
            <w:textDirection w:val="lrTb"/>
            <w:noWrap w:val="false"/>
          </w:tcPr>
          <w:p>
            <w:pPr>
              <w:pStyle w:val="108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根部</w:t>
            </w:r>
            <w:r>
              <w:rPr>
                <w:rFonts w:ascii="宋体" w:hAnsi="宋体" w:eastAsia="宋体" w:cs="宋体"/>
                <w:color w:val="000000"/>
                <w:sz w:val="18"/>
                <w:szCs w:val="18"/>
                <w:highlight w:val="none"/>
                <w:lang w:eastAsia="zh-CN"/>
              </w:rPr>
            </w:r>
            <w:r/>
          </w:p>
        </w:tc>
        <w:tc>
          <w:tcPr>
            <w:shd w:val="clear" w:color="auto" w:fill="ffffff"/>
            <w:tcW w:w="1276" w:type="dxa"/>
            <w:vAlign w:val="center"/>
            <w:textDirection w:val="lrTb"/>
            <w:noWrap w:val="false"/>
          </w:tcPr>
          <w:p>
            <w:pPr>
              <w:pStyle w:val="1083"/>
              <w:ind w:left="16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5月〜10月</w:t>
            </w:r>
            <w:r>
              <w:rPr>
                <w:rFonts w:ascii="宋体" w:hAnsi="宋体" w:eastAsia="宋体" w:cs="宋体"/>
                <w:color w:val="000000"/>
                <w:sz w:val="18"/>
                <w:szCs w:val="18"/>
                <w:highlight w:val="none"/>
                <w:lang w:eastAsia="zh-CN"/>
              </w:rPr>
            </w:r>
            <w:r/>
          </w:p>
        </w:tc>
        <w:tc>
          <w:tcPr>
            <w:shd w:val="clear" w:color="auto" w:fill="ffffff"/>
            <w:tcW w:w="4688" w:type="dxa"/>
            <w:vAlign w:val="center"/>
            <w:textDirection w:val="lrTb"/>
            <w:noWrap w:val="false"/>
          </w:tcPr>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每亩根施5%丁硫克百威颗粒剂</w:t>
            </w:r>
            <w:r>
              <w:rPr>
                <w:rFonts w:hint="eastAsia" w:ascii="宋体" w:hAnsi="宋体" w:eastAsia="宋体" w:cs="宋体"/>
                <w:color w:val="000000"/>
                <w:sz w:val="18"/>
                <w:szCs w:val="18"/>
                <w:highlight w:val="none"/>
                <w:lang w:val="en-US" w:eastAsia="zh-CN" w:bidi="en-US"/>
              </w:rPr>
              <w:t xml:space="preserve">2kg</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3kg， </w:t>
            </w:r>
            <w:r>
              <w:rPr>
                <w:rFonts w:hint="eastAsia" w:ascii="宋体" w:hAnsi="宋体" w:eastAsia="宋体" w:cs="宋体"/>
                <w:color w:val="000000"/>
                <w:sz w:val="18"/>
                <w:szCs w:val="18"/>
                <w:highlight w:val="none"/>
                <w:lang w:eastAsia="zh-CN"/>
              </w:rPr>
              <w:t xml:space="preserve">3%毒死蜱颗粒剂</w:t>
            </w:r>
            <w:r>
              <w:rPr>
                <w:rFonts w:hint="eastAsia" w:ascii="宋体" w:hAnsi="宋体" w:eastAsia="宋体" w:cs="宋体"/>
                <w:color w:val="000000"/>
                <w:sz w:val="18"/>
                <w:szCs w:val="18"/>
                <w:highlight w:val="none"/>
                <w:lang w:val="en-US" w:eastAsia="zh-CN" w:bidi="en-US"/>
              </w:rPr>
              <w:t xml:space="preserve">4kg</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6kg， </w:t>
            </w:r>
            <w:r>
              <w:rPr>
                <w:rFonts w:hint="eastAsia" w:ascii="宋体" w:hAnsi="宋体" w:eastAsia="宋体" w:cs="宋体"/>
                <w:color w:val="000000"/>
                <w:sz w:val="18"/>
                <w:szCs w:val="18"/>
                <w:highlight w:val="none"/>
                <w:lang w:eastAsia="zh-CN"/>
              </w:rPr>
              <w:t xml:space="preserve">0.5%阿维菌素颗粒剂</w:t>
            </w:r>
            <w:r>
              <w:rPr>
                <w:rFonts w:ascii="宋体" w:hAnsi="宋体" w:eastAsia="宋体" w:cs="宋体"/>
                <w:color w:val="000000"/>
                <w:sz w:val="18"/>
                <w:szCs w:val="18"/>
                <w:highlight w:val="none"/>
                <w:lang w:eastAsia="zh-CN"/>
              </w:rPr>
            </w:r>
            <w:r/>
          </w:p>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val="en-US" w:eastAsia="zh-CN" w:bidi="en-US"/>
              </w:rPr>
              <w:t xml:space="preserve">4kg</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bidi="en-US"/>
              </w:rPr>
              <w:t xml:space="preserve">5kg。</w:t>
            </w:r>
            <w:r>
              <w:rPr>
                <w:rFonts w:hint="eastAsia" w:ascii="宋体" w:hAnsi="宋体" w:eastAsia="宋体" w:cs="宋体"/>
                <w:color w:val="000000"/>
                <w:sz w:val="18"/>
                <w:szCs w:val="18"/>
                <w:highlight w:val="none"/>
                <w:lang w:eastAsia="zh-CN"/>
              </w:rPr>
              <w:t xml:space="preserve">不宜使用未腐熟的厩肥。</w:t>
            </w:r>
            <w:r>
              <w:rPr>
                <w:rFonts w:ascii="宋体" w:hAnsi="宋体" w:eastAsia="宋体" w:cs="宋体"/>
                <w:color w:val="000000"/>
                <w:sz w:val="18"/>
                <w:szCs w:val="18"/>
                <w:highlight w:val="none"/>
                <w:lang w:eastAsia="zh-CN"/>
              </w:rPr>
            </w:r>
            <w:r/>
          </w:p>
        </w:tc>
      </w:tr>
      <w:tr>
        <w:trPr>
          <w:trHeight w:val="1389" w:hRule="exact"/>
        </w:trPr>
        <w:tc>
          <w:tcPr>
            <w:shd w:val="clear" w:color="auto" w:fill="ffffff"/>
            <w:tcW w:w="1013"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盲蝽</w:t>
            </w:r>
            <w:r>
              <w:rPr>
                <w:rFonts w:ascii="宋体" w:hAnsi="宋体" w:eastAsia="宋体" w:cs="宋体"/>
                <w:color w:val="000000"/>
                <w:sz w:val="18"/>
                <w:szCs w:val="18"/>
                <w:highlight w:val="none"/>
                <w:lang w:eastAsia="zh-CN"/>
              </w:rPr>
            </w:r>
            <w:r/>
          </w:p>
        </w:tc>
        <w:tc>
          <w:tcPr>
            <w:shd w:val="clear" w:color="auto" w:fill="ffffff"/>
            <w:tcW w:w="2163" w:type="dxa"/>
            <w:vAlign w:val="center"/>
            <w:textDirection w:val="lrTb"/>
            <w:noWrap w:val="false"/>
          </w:tcPr>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绿盲蝽</w:t>
            </w:r>
            <w:r>
              <w:rPr>
                <w:rFonts w:ascii="宋体" w:hAnsi="宋体" w:eastAsia="宋体" w:cs="宋体"/>
                <w:color w:val="000000"/>
                <w:sz w:val="18"/>
                <w:szCs w:val="18"/>
                <w:highlight w:val="none"/>
                <w:lang w:eastAsia="zh-CN"/>
              </w:rPr>
            </w:r>
            <w:r/>
          </w:p>
          <w:p>
            <w:pPr>
              <w:pStyle w:val="1083"/>
              <w:ind w:left="142" w:firstLine="23"/>
              <w:jc w:val="center"/>
              <w:spacing w:after="156"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i/>
                <w:iCs/>
                <w:color w:val="000000"/>
                <w:sz w:val="18"/>
                <w:szCs w:val="18"/>
                <w:highlight w:val="none"/>
                <w:lang w:val="en-US" w:eastAsia="zh-CN" w:bidi="en-US"/>
              </w:rPr>
              <w:t xml:space="preserve">Lygocoris lucorum</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苜蓿盲蝽</w:t>
            </w:r>
            <w:r>
              <w:rPr>
                <w:rFonts w:hint="eastAsia" w:ascii="宋体" w:hAnsi="宋体" w:eastAsia="宋体" w:cs="宋体"/>
                <w:i/>
                <w:iCs/>
                <w:color w:val="000000"/>
                <w:sz w:val="18"/>
                <w:szCs w:val="18"/>
                <w:highlight w:val="none"/>
                <w:lang w:val="en-US" w:eastAsia="zh-CN" w:bidi="en-US"/>
              </w:rPr>
              <w:t xml:space="preserve">Adelphocoris lin</w:t>
            </w:r>
            <w:r>
              <w:rPr>
                <w:rFonts w:hint="eastAsia" w:ascii="宋体" w:hAnsi="宋体" w:eastAsia="宋体" w:cs="宋体"/>
                <w:i/>
                <w:iCs/>
                <w:color w:val="000000"/>
                <w:sz w:val="18"/>
                <w:szCs w:val="18"/>
                <w:highlight w:val="none"/>
                <w:lang w:val="en-US" w:eastAsia="en-US" w:bidi="en-US"/>
              </w:rPr>
              <w:t xml:space="preserve">eolatus</w:t>
            </w:r>
            <w:r>
              <w:rPr>
                <w:rFonts w:ascii="宋体" w:hAnsi="宋体" w:eastAsia="宋体" w:cs="宋体"/>
                <w:color w:val="000000"/>
                <w:sz w:val="18"/>
                <w:szCs w:val="18"/>
                <w:highlight w:val="none"/>
                <w:lang w:eastAsia="zh-CN"/>
              </w:rPr>
            </w:r>
            <w:r/>
          </w:p>
        </w:tc>
        <w:tc>
          <w:tcPr>
            <w:shd w:val="clear" w:color="auto" w:fill="ffffff"/>
            <w:tcW w:w="851" w:type="dxa"/>
            <w:vAlign w:val="center"/>
            <w:textDirection w:val="lrTb"/>
            <w:noWrap w:val="false"/>
          </w:tcPr>
          <w:p>
            <w:pPr>
              <w:pStyle w:val="1083"/>
              <w:jc w:val="center"/>
              <w:spacing w:after="160"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花器、叶</w:t>
            </w:r>
            <w:r>
              <w:rPr>
                <w:rFonts w:ascii="宋体" w:hAnsi="宋体" w:eastAsia="宋体" w:cs="宋体"/>
                <w:color w:val="000000"/>
                <w:sz w:val="18"/>
                <w:szCs w:val="18"/>
                <w:highlight w:val="none"/>
                <w:lang w:eastAsia="zh-CN"/>
              </w:rPr>
            </w:r>
            <w:r/>
          </w:p>
          <w:p>
            <w:pPr>
              <w:pStyle w:val="108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片。</w:t>
            </w:r>
            <w:r>
              <w:rPr>
                <w:rFonts w:ascii="宋体" w:hAnsi="宋体" w:eastAsia="宋体" w:cs="宋体"/>
                <w:color w:val="000000"/>
                <w:sz w:val="18"/>
                <w:szCs w:val="18"/>
                <w:highlight w:val="none"/>
                <w:lang w:eastAsia="zh-CN"/>
              </w:rPr>
            </w:r>
            <w:r/>
          </w:p>
        </w:tc>
        <w:tc>
          <w:tcPr>
            <w:shd w:val="clear" w:color="auto" w:fill="ffffff"/>
            <w:tcW w:w="1276" w:type="dxa"/>
            <w:vAlign w:val="center"/>
            <w:textDirection w:val="lrTb"/>
            <w:noWrap w:val="false"/>
          </w:tcPr>
          <w:p>
            <w:pPr>
              <w:pStyle w:val="1083"/>
              <w:ind w:left="16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4月〜9</w:t>
            </w:r>
            <w:r>
              <w:rPr>
                <w:rFonts w:hint="eastAsia" w:ascii="宋体" w:hAnsi="宋体" w:eastAsia="宋体" w:cs="宋体"/>
                <w:color w:val="000000"/>
                <w:sz w:val="18"/>
                <w:szCs w:val="18"/>
                <w:highlight w:val="none"/>
                <w:lang w:val="en-US" w:eastAsia="zh-CN" w:bidi="en-US"/>
              </w:rPr>
              <w:t xml:space="preserve">月</w:t>
            </w:r>
            <w:r>
              <w:rPr>
                <w:rFonts w:ascii="宋体" w:hAnsi="宋体" w:eastAsia="宋体" w:cs="宋体"/>
                <w:color w:val="000000"/>
                <w:sz w:val="18"/>
                <w:szCs w:val="18"/>
                <w:highlight w:val="none"/>
                <w:lang w:eastAsia="zh-CN"/>
              </w:rPr>
            </w:r>
            <w:r/>
          </w:p>
        </w:tc>
        <w:tc>
          <w:tcPr>
            <w:shd w:val="clear" w:color="auto" w:fill="ffffff"/>
            <w:tcW w:w="4688" w:type="dxa"/>
            <w:vAlign w:val="center"/>
            <w:textDirection w:val="lrTb"/>
            <w:noWrap w:val="false"/>
          </w:tcPr>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3月份前消除绿地内杂草，消灭越冬卵；用蓝色诱虫板（置于1.8m高处）诱杀成虫；喷施</w:t>
            </w:r>
            <w:r>
              <w:rPr>
                <w:rFonts w:ascii="宋体" w:hAnsi="宋体" w:eastAsia="宋体" w:cs="宋体"/>
                <w:color w:val="000000"/>
                <w:sz w:val="18"/>
                <w:szCs w:val="18"/>
                <w:highlight w:val="none"/>
                <w:lang w:eastAsia="zh-CN"/>
              </w:rPr>
            </w:r>
            <w:r/>
          </w:p>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val="en-US" w:eastAsia="zh-CN" w:bidi="en-US"/>
              </w:rPr>
              <w:t xml:space="preserve">2.5</w:t>
            </w:r>
            <w:r>
              <w:rPr>
                <w:rFonts w:hint="eastAsia" w:ascii="宋体" w:hAnsi="宋体" w:eastAsia="宋体" w:cs="宋体"/>
                <w:color w:val="000000"/>
                <w:sz w:val="18"/>
                <w:szCs w:val="18"/>
                <w:highlight w:val="none"/>
                <w:lang w:eastAsia="zh-CN"/>
              </w:rPr>
              <w:t xml:space="preserve">%高效氯氟氰菊酯微乳剂3000倍液，10%吡虫啉可湿性粉剂2000倍液，40%毒死蜱乳油2000倍液等，注意轮换用药。</w:t>
            </w:r>
            <w:r>
              <w:rPr>
                <w:rFonts w:ascii="宋体" w:hAnsi="宋体" w:eastAsia="宋体" w:cs="宋体"/>
                <w:color w:val="000000"/>
                <w:sz w:val="18"/>
                <w:szCs w:val="18"/>
                <w:highlight w:val="none"/>
                <w:lang w:eastAsia="zh-CN"/>
              </w:rPr>
            </w:r>
            <w:r/>
          </w:p>
        </w:tc>
      </w:tr>
      <w:tr>
        <w:trPr>
          <w:trHeight w:val="2377" w:hRule="exact"/>
        </w:trPr>
        <w:tc>
          <w:tcPr>
            <w:shd w:val="clear" w:color="auto" w:fill="ffffff"/>
            <w:tcW w:w="1013" w:type="dxa"/>
            <w:vAlign w:val="center"/>
            <w:textDirection w:val="lrTb"/>
            <w:noWrap w:val="false"/>
          </w:tcPr>
          <w:p>
            <w:pPr>
              <w:pStyle w:val="1083"/>
              <w:ind w:left="160" w:firstLine="2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叶螨</w:t>
            </w:r>
            <w:r>
              <w:rPr>
                <w:rFonts w:ascii="宋体" w:hAnsi="宋体" w:eastAsia="宋体" w:cs="宋体"/>
                <w:color w:val="000000"/>
                <w:sz w:val="18"/>
                <w:szCs w:val="18"/>
                <w:highlight w:val="none"/>
                <w:lang w:eastAsia="zh-CN"/>
              </w:rPr>
            </w:r>
            <w:r/>
          </w:p>
        </w:tc>
        <w:tc>
          <w:tcPr>
            <w:shd w:val="clear" w:color="auto" w:fill="ffffff"/>
            <w:tcW w:w="2163" w:type="dxa"/>
            <w:vAlign w:val="center"/>
            <w:textDirection w:val="lrTb"/>
            <w:noWrap w:val="false"/>
          </w:tcPr>
          <w:p>
            <w:pPr>
              <w:pStyle w:val="1083"/>
              <w:ind w:left="142" w:firstLine="23"/>
              <w:jc w:val="center"/>
              <w:spacing w:line="280" w:lineRule="exact"/>
              <w:shd w:val="clear" w:color="auto" w:fill="auto"/>
              <w:rPr>
                <w:rFonts w:ascii="宋体" w:hAnsi="宋体" w:eastAsia="宋体" w:cs="宋体"/>
                <w:i/>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朱砂叶螨</w:t>
            </w:r>
            <w:r>
              <w:rPr>
                <w:rFonts w:hint="eastAsia" w:ascii="宋体" w:hAnsi="宋体" w:eastAsia="宋体" w:cs="宋体"/>
                <w:i/>
                <w:color w:val="000000"/>
                <w:sz w:val="18"/>
                <w:szCs w:val="18"/>
                <w:highlight w:val="none"/>
                <w:lang w:eastAsia="zh-CN"/>
              </w:rPr>
              <w:t xml:space="preserve">Tetranychus</w:t>
            </w:r>
            <w:r>
              <w:rPr>
                <w:rFonts w:ascii="宋体" w:hAnsi="宋体" w:eastAsia="宋体" w:cs="宋体"/>
                <w:i/>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i/>
                <w:color w:val="000000"/>
                <w:sz w:val="18"/>
                <w:szCs w:val="18"/>
                <w:highlight w:val="none"/>
                <w:lang w:eastAsia="zh-CN"/>
              </w:rPr>
            </w:pPr>
            <w:r>
              <w:rPr>
                <w:rFonts w:hint="eastAsia" w:ascii="宋体" w:hAnsi="宋体" w:eastAsia="宋体" w:cs="宋体"/>
                <w:i/>
                <w:color w:val="000000"/>
                <w:sz w:val="18"/>
                <w:szCs w:val="18"/>
                <w:highlight w:val="none"/>
                <w:lang w:eastAsia="zh-CN"/>
              </w:rPr>
              <w:t xml:space="preserve">cinnabarinus</w:t>
            </w:r>
            <w:r>
              <w:rPr>
                <w:rFonts w:ascii="宋体" w:hAnsi="宋体" w:eastAsia="宋体" w:cs="宋体"/>
                <w:i/>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二斑叶螨</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i/>
                <w:color w:val="000000"/>
                <w:sz w:val="18"/>
                <w:szCs w:val="18"/>
                <w:highlight w:val="none"/>
                <w:lang w:eastAsia="zh-CN"/>
              </w:rPr>
            </w:pPr>
            <w:r>
              <w:rPr>
                <w:rFonts w:hint="eastAsia" w:ascii="宋体" w:hAnsi="宋体" w:eastAsia="宋体" w:cs="宋体"/>
                <w:i/>
                <w:color w:val="000000"/>
                <w:sz w:val="18"/>
                <w:szCs w:val="18"/>
                <w:highlight w:val="none"/>
                <w:lang w:eastAsia="zh-CN"/>
              </w:rPr>
              <w:t xml:space="preserve">Tetranychus urticae</w:t>
            </w:r>
            <w:r>
              <w:rPr>
                <w:rFonts w:ascii="宋体" w:hAnsi="宋体" w:eastAsia="宋体" w:cs="宋体"/>
                <w:i/>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卵形短须螨</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i/>
                <w:color w:val="000000"/>
                <w:sz w:val="18"/>
                <w:szCs w:val="18"/>
                <w:highlight w:val="none"/>
                <w:lang w:eastAsia="zh-CN"/>
              </w:rPr>
            </w:pPr>
            <w:r>
              <w:rPr>
                <w:rFonts w:hint="eastAsia" w:ascii="宋体" w:hAnsi="宋体" w:eastAsia="宋体" w:cs="宋体"/>
                <w:i/>
                <w:color w:val="000000"/>
                <w:sz w:val="18"/>
                <w:szCs w:val="18"/>
                <w:highlight w:val="none"/>
                <w:lang w:eastAsia="zh-CN"/>
              </w:rPr>
              <w:t xml:space="preserve">Brevipalpus obovatus</w:t>
            </w:r>
            <w:r>
              <w:rPr>
                <w:rFonts w:ascii="宋体" w:hAnsi="宋体" w:eastAsia="宋体" w:cs="宋体"/>
                <w:i/>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橘全爪蟎</w:t>
            </w:r>
            <w:r>
              <w:rPr>
                <w:rFonts w:ascii="宋体" w:hAnsi="宋体" w:eastAsia="宋体" w:cs="宋体"/>
                <w:color w:val="000000"/>
                <w:sz w:val="18"/>
                <w:szCs w:val="18"/>
                <w:highlight w:val="none"/>
                <w:lang w:eastAsia="zh-CN"/>
              </w:rPr>
            </w:r>
            <w:r/>
          </w:p>
          <w:p>
            <w:pPr>
              <w:pStyle w:val="1083"/>
              <w:ind w:left="142" w:firstLine="23"/>
              <w:jc w:val="center"/>
              <w:spacing w:line="280" w:lineRule="exact"/>
              <w:shd w:val="clear" w:color="auto" w:fill="auto"/>
              <w:rPr>
                <w:rFonts w:ascii="宋体" w:hAnsi="宋体" w:eastAsia="宋体" w:cs="宋体"/>
                <w:i/>
                <w:color w:val="000000"/>
                <w:sz w:val="18"/>
                <w:szCs w:val="18"/>
                <w:highlight w:val="none"/>
                <w:lang w:eastAsia="zh-CN"/>
              </w:rPr>
            </w:pPr>
            <w:r>
              <w:rPr>
                <w:rFonts w:hint="eastAsia" w:ascii="宋体" w:hAnsi="宋体" w:eastAsia="宋体" w:cs="宋体"/>
                <w:i/>
                <w:color w:val="000000"/>
                <w:sz w:val="18"/>
                <w:szCs w:val="18"/>
                <w:highlight w:val="none"/>
                <w:lang w:eastAsia="zh-CN"/>
              </w:rPr>
              <w:t xml:space="preserve">Panonychus citri</w:t>
            </w:r>
            <w:r>
              <w:rPr>
                <w:rFonts w:ascii="宋体" w:hAnsi="宋体" w:eastAsia="宋体" w:cs="宋体"/>
                <w:i/>
                <w:color w:val="000000"/>
                <w:sz w:val="18"/>
                <w:szCs w:val="18"/>
                <w:highlight w:val="none"/>
                <w:lang w:eastAsia="zh-CN"/>
              </w:rPr>
            </w:r>
            <w:r/>
          </w:p>
        </w:tc>
        <w:tc>
          <w:tcPr>
            <w:shd w:val="clear" w:color="auto" w:fill="ffffff"/>
            <w:tcW w:w="851" w:type="dxa"/>
            <w:vAlign w:val="center"/>
            <w:textDirection w:val="lrTb"/>
            <w:noWrap w:val="false"/>
          </w:tcPr>
          <w:p>
            <w:pPr>
              <w:pStyle w:val="1083"/>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叶片</w:t>
            </w:r>
            <w:r>
              <w:rPr>
                <w:rFonts w:ascii="宋体" w:hAnsi="宋体" w:eastAsia="宋体" w:cs="宋体"/>
                <w:color w:val="000000"/>
                <w:sz w:val="18"/>
                <w:szCs w:val="18"/>
                <w:highlight w:val="none"/>
                <w:lang w:eastAsia="zh-CN"/>
              </w:rPr>
            </w:r>
            <w:r/>
          </w:p>
        </w:tc>
        <w:tc>
          <w:tcPr>
            <w:shd w:val="clear" w:color="auto" w:fill="ffffff"/>
            <w:tcW w:w="1276" w:type="dxa"/>
            <w:vAlign w:val="center"/>
            <w:textDirection w:val="lrTb"/>
            <w:noWrap w:val="false"/>
          </w:tcPr>
          <w:p>
            <w:pPr>
              <w:pStyle w:val="1083"/>
              <w:ind w:left="160"/>
              <w:jc w:val="center"/>
              <w:spacing w:line="240" w:lineRule="auto"/>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3月〜11月</w:t>
            </w:r>
            <w:r>
              <w:rPr>
                <w:rFonts w:ascii="宋体" w:hAnsi="宋体" w:eastAsia="宋体" w:cs="宋体"/>
                <w:color w:val="000000"/>
                <w:sz w:val="18"/>
                <w:szCs w:val="18"/>
                <w:highlight w:val="none"/>
                <w:lang w:eastAsia="zh-CN"/>
              </w:rPr>
            </w:r>
            <w:r/>
          </w:p>
        </w:tc>
        <w:tc>
          <w:tcPr>
            <w:shd w:val="clear" w:color="auto" w:fill="ffffff"/>
            <w:tcW w:w="4688" w:type="dxa"/>
            <w:vAlign w:val="center"/>
            <w:textDirection w:val="lrTb"/>
            <w:noWrap w:val="false"/>
          </w:tcPr>
          <w:p>
            <w:pPr>
              <w:pStyle w:val="1083"/>
              <w:ind w:left="0"/>
              <w:jc w:val="both"/>
              <w:spacing w:line="280" w:lineRule="exact"/>
              <w:shd w:val="clear" w:color="auto" w:fill="auto"/>
              <w:rPr>
                <w:rFonts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冬季清除杂草及枯枝落叶；早春植株发芽前喷施3〜5波美度石硫合剂，消灭越冬螨体；喷施</w:t>
            </w:r>
            <w:r>
              <w:rPr>
                <w:rFonts w:hint="eastAsia" w:ascii="宋体" w:hAnsi="宋体" w:eastAsia="宋体" w:cs="宋体"/>
                <w:color w:val="000000"/>
                <w:sz w:val="18"/>
                <w:szCs w:val="18"/>
                <w:highlight w:val="none"/>
                <w:lang w:eastAsia="zh-CN"/>
              </w:rPr>
              <w:br w:type="textWrapping" w:clear="all"/>
            </w:r>
            <w:r>
              <w:rPr>
                <w:rFonts w:hint="eastAsia" w:ascii="宋体" w:hAnsi="宋体" w:eastAsia="宋体" w:cs="宋体"/>
                <w:color w:val="000000"/>
                <w:sz w:val="18"/>
                <w:szCs w:val="18"/>
                <w:highlight w:val="none"/>
                <w:lang w:eastAsia="zh-CN"/>
              </w:rPr>
              <w:t xml:space="preserve">1.8%阿维菌素乳油</w:t>
            </w:r>
            <w:r>
              <w:rPr>
                <w:rFonts w:hint="eastAsia" w:ascii="宋体" w:hAnsi="宋体" w:eastAsia="宋体" w:cs="宋体"/>
                <w:color w:val="000000"/>
                <w:sz w:val="18"/>
                <w:szCs w:val="18"/>
                <w:highlight w:val="none"/>
                <w:lang w:val="en-US" w:eastAsia="zh-CN" w:bidi="en-US"/>
              </w:rPr>
              <w:t xml:space="preserve">15OO〜2000</w:t>
            </w:r>
            <w:r>
              <w:rPr>
                <w:rFonts w:hint="eastAsia" w:ascii="宋体" w:hAnsi="宋体" w:eastAsia="宋体" w:cs="宋体"/>
                <w:color w:val="000000"/>
                <w:sz w:val="18"/>
                <w:szCs w:val="18"/>
                <w:highlight w:val="none"/>
                <w:lang w:eastAsia="zh-CN"/>
              </w:rPr>
              <w:t xml:space="preserve">倍液，8%阿維</w:t>
            </w:r>
            <w:r>
              <w:rPr>
                <w:rFonts w:hint="eastAsia" w:ascii="宋体" w:hAnsi="宋体" w:eastAsia="宋体" w:cs="宋体"/>
                <w:color w:val="000000"/>
                <w:sz w:val="18"/>
                <w:szCs w:val="18"/>
                <w:highlight w:val="none"/>
                <w:lang w:val="en-US" w:eastAsia="zh-CN" w:bidi="en-US"/>
              </w:rPr>
              <w:t xml:space="preserve">•</w:t>
            </w:r>
            <w:r>
              <w:rPr>
                <w:rFonts w:hint="eastAsia" w:ascii="宋体" w:hAnsi="宋体" w:eastAsia="宋体" w:cs="宋体"/>
                <w:color w:val="000000"/>
                <w:sz w:val="18"/>
                <w:szCs w:val="18"/>
                <w:highlight w:val="none"/>
                <w:lang w:eastAsia="zh-CN"/>
              </w:rPr>
              <w:t xml:space="preserve">哒 （阿维菌索与哒螨灵复配）</w:t>
            </w:r>
            <w:r>
              <w:rPr>
                <w:rFonts w:hint="eastAsia" w:ascii="宋体" w:hAnsi="宋体" w:eastAsia="宋体" w:cs="宋体"/>
                <w:color w:val="000000"/>
                <w:sz w:val="18"/>
                <w:szCs w:val="18"/>
                <w:highlight w:val="none"/>
                <w:lang w:val="en-US" w:eastAsia="zh-CN" w:bidi="en-US"/>
              </w:rPr>
              <w:t xml:space="preserve">微乳剂2000〜3000</w:t>
            </w:r>
            <w:r>
              <w:rPr>
                <w:rFonts w:hint="eastAsia" w:ascii="宋体" w:hAnsi="宋体" w:eastAsia="宋体" w:cs="宋体"/>
                <w:color w:val="000000"/>
                <w:sz w:val="18"/>
                <w:szCs w:val="18"/>
                <w:highlight w:val="none"/>
                <w:lang w:eastAsia="zh-CN"/>
              </w:rPr>
              <w:t xml:space="preserve">倍液</w:t>
            </w:r>
            <w:r>
              <w:rPr>
                <w:rFonts w:hint="eastAsia" w:ascii="宋体" w:hAnsi="宋体" w:eastAsia="宋体" w:cs="宋体"/>
                <w:color w:val="000000"/>
                <w:sz w:val="18"/>
                <w:szCs w:val="18"/>
                <w:highlight w:val="none"/>
                <w:lang w:val="en-US" w:eastAsia="zh-CN" w:bidi="en-US"/>
              </w:rPr>
              <w:t xml:space="preserve">， 73%</w:t>
            </w:r>
            <w:r>
              <w:rPr>
                <w:rFonts w:hint="eastAsia" w:ascii="宋体" w:hAnsi="宋体" w:eastAsia="宋体" w:cs="宋体"/>
                <w:color w:val="000000"/>
                <w:sz w:val="18"/>
                <w:szCs w:val="18"/>
                <w:highlight w:val="none"/>
                <w:lang w:eastAsia="zh-CN"/>
              </w:rPr>
              <w:t xml:space="preserve">炔螨特乳油</w:t>
            </w:r>
            <w:r>
              <w:rPr>
                <w:rFonts w:hint="eastAsia" w:ascii="宋体" w:hAnsi="宋体" w:eastAsia="宋体" w:cs="宋体"/>
                <w:color w:val="000000"/>
                <w:sz w:val="18"/>
                <w:szCs w:val="18"/>
                <w:highlight w:val="none"/>
                <w:lang w:val="en-US" w:eastAsia="zh-CN" w:bidi="en-US"/>
              </w:rPr>
              <w:t xml:space="preserve"> 1500〜2000</w:t>
            </w:r>
            <w:r>
              <w:rPr>
                <w:rFonts w:hint="eastAsia" w:ascii="宋体" w:hAnsi="宋体" w:eastAsia="宋体" w:cs="宋体"/>
                <w:color w:val="000000"/>
                <w:sz w:val="18"/>
                <w:szCs w:val="18"/>
                <w:highlight w:val="none"/>
                <w:lang w:eastAsia="zh-CN"/>
              </w:rPr>
              <w:t xml:space="preserve">倍液，20%氟螨嗪悬浮液2500〜4000倍液，5%唑螨酯悬浮剂</w:t>
            </w:r>
            <w:r>
              <w:rPr>
                <w:rFonts w:hint="eastAsia" w:ascii="宋体" w:hAnsi="宋体" w:eastAsia="宋体" w:cs="宋体"/>
                <w:color w:val="000000"/>
                <w:sz w:val="18"/>
                <w:szCs w:val="18"/>
                <w:highlight w:val="none"/>
                <w:lang w:val="en-US" w:eastAsia="zh-CN" w:bidi="en-US"/>
              </w:rPr>
              <w:t xml:space="preserve">1500〜2000 </w:t>
            </w:r>
            <w:r>
              <w:rPr>
                <w:rFonts w:hint="eastAsia" w:ascii="宋体" w:hAnsi="宋体" w:eastAsia="宋体" w:cs="宋体"/>
                <w:color w:val="000000"/>
                <w:sz w:val="18"/>
                <w:szCs w:val="18"/>
                <w:highlight w:val="none"/>
                <w:lang w:eastAsia="zh-CN"/>
              </w:rPr>
              <w:t xml:space="preserve">倍液，24%螺螨酯悬浮剂</w:t>
            </w:r>
            <w:r>
              <w:rPr>
                <w:rFonts w:hint="eastAsia" w:ascii="宋体" w:hAnsi="宋体" w:eastAsia="宋体" w:cs="宋体"/>
                <w:color w:val="000000"/>
                <w:sz w:val="18"/>
                <w:szCs w:val="18"/>
                <w:highlight w:val="none"/>
                <w:lang w:val="en-US" w:eastAsia="zh-CN" w:bidi="en-US"/>
              </w:rPr>
              <w:t xml:space="preserve"> 5000〜6000</w:t>
            </w:r>
            <w:r>
              <w:rPr>
                <w:rFonts w:hint="eastAsia" w:ascii="宋体" w:hAnsi="宋体" w:eastAsia="宋体" w:cs="宋体"/>
                <w:color w:val="000000"/>
                <w:sz w:val="18"/>
                <w:szCs w:val="18"/>
                <w:highlight w:val="none"/>
                <w:lang w:eastAsia="zh-CN"/>
              </w:rPr>
              <w:t xml:space="preserve">倍液，注意轮换用药。</w:t>
            </w:r>
            <w:r>
              <w:rPr>
                <w:rFonts w:ascii="宋体" w:hAnsi="宋体" w:eastAsia="宋体" w:cs="宋体"/>
                <w:color w:val="000000"/>
                <w:sz w:val="18"/>
                <w:szCs w:val="18"/>
                <w:highlight w:val="none"/>
                <w:lang w:eastAsia="zh-CN"/>
              </w:rPr>
            </w:r>
            <w:r/>
          </w:p>
        </w:tc>
      </w:tr>
    </w:tbl>
    <w:p>
      <w:pPr>
        <w:pStyle w:val="825"/>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25"/>
        <w:jc w:val="left"/>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25"/>
        <w:jc w:val="left"/>
        <w:spacing w:line="24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绿化登高车机械参考样式：</w:t>
      </w:r>
      <w:r>
        <w:rPr>
          <w:rFonts w:ascii="宋体" w:hAnsi="宋体" w:cs="宋体"/>
          <w:b/>
          <w:bCs/>
          <w:color w:val="000000"/>
          <w:sz w:val="24"/>
          <w:szCs w:val="24"/>
          <w:highlight w:val="none"/>
        </w:rPr>
      </w:r>
      <w:r/>
    </w:p>
    <w:p>
      <w:pPr>
        <w:pStyle w:val="825"/>
        <w:jc w:val="left"/>
        <w:spacing w:line="240" w:lineRule="auto"/>
        <w:rPr>
          <w:rFonts w:ascii="宋体" w:hAnsi="宋体" w:cs="宋体"/>
          <w:bCs/>
          <w:color w:val="000000"/>
          <w:sz w:val="28"/>
          <w:highlight w:val="none"/>
        </w:rPr>
      </w:pPr>
      <w:r>
        <w:rPr>
          <w:rFonts w:ascii="宋体" w:hAnsi="宋体" w:cs="宋体"/>
          <w:color w:val="000000"/>
          <w:sz w:val="28"/>
          <w:highlight w:val="none"/>
        </w:rPr>
        <mc:AlternateContent>
          <mc:Choice Requires="wpg">
            <w:drawing>
              <wp:inline xmlns:wp="http://schemas.openxmlformats.org/drawingml/2006/wordprocessingDrawing" distT="0" distB="0" distL="0" distR="0">
                <wp:extent cx="2281606" cy="1807832"/>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2281606" cy="1807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9.7pt;height:142.3pt;mso-wrap-distance-left:0.0pt;mso-wrap-distance-top:0.0pt;mso-wrap-distance-right:0.0pt;mso-wrap-distance-bottom:0.0pt;" stroked="f">
                <v:path textboxrect="0,0,0,0"/>
                <v:imagedata r:id="rId23" o:title=""/>
              </v:shape>
            </w:pict>
          </mc:Fallback>
        </mc:AlternateContent>
      </w:r>
      <w:r>
        <w:rPr>
          <w:rFonts w:hint="eastAsia" w:ascii="宋体" w:hAnsi="宋体" w:cs="宋体"/>
          <w:color w:val="000000"/>
          <w:highlight w:val="none"/>
        </w:rPr>
        <w:t xml:space="preserve"> </w:t>
      </w:r>
      <w:r>
        <w:rPr>
          <w:color w:val="000000"/>
          <w:highlight w:val="none"/>
        </w:rPr>
        <mc:AlternateContent>
          <mc:Choice Requires="wpg">
            <w:drawing>
              <wp:inline xmlns:wp="http://schemas.openxmlformats.org/drawingml/2006/wordprocessingDrawing" distT="0" distB="0" distL="0" distR="0">
                <wp:extent cx="2080082" cy="179503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2080082" cy="17950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3.8pt;height:141.3pt;mso-wrap-distance-left:0.0pt;mso-wrap-distance-top:0.0pt;mso-wrap-distance-right:0.0pt;mso-wrap-distance-bottom:0.0pt;" stroked="f">
                <v:path textboxrect="0,0,0,0"/>
                <v:imagedata r:id="rId24" o:title=""/>
              </v:shape>
            </w:pict>
          </mc:Fallback>
        </mc:AlternateContent>
      </w:r>
      <w:r>
        <w:rPr>
          <w:rFonts w:ascii="宋体" w:hAnsi="宋体" w:cs="宋体"/>
          <w:bCs/>
          <w:color w:val="000000"/>
          <w:sz w:val="28"/>
          <w:highlight w:val="none"/>
        </w:rPr>
      </w:r>
      <w:r/>
    </w:p>
    <w:p>
      <w:pPr>
        <w:pStyle w:val="825"/>
        <w:jc w:val="left"/>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25"/>
        <w:jc w:val="left"/>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绿化洒水车机械参考式样：</w:t>
      </w:r>
      <w:r>
        <w:rPr>
          <w:rFonts w:hint="eastAsia" w:ascii="宋体" w:hAnsi="宋体" w:eastAsia="宋体" w:cs="宋体"/>
          <w:b/>
          <w:bCs/>
          <w:color w:val="000000"/>
          <w:sz w:val="24"/>
          <w:szCs w:val="24"/>
          <w:highlight w:val="none"/>
        </w:rPr>
      </w:r>
      <w:r/>
    </w:p>
    <w:p>
      <w:pPr>
        <w:pStyle w:val="825"/>
        <w:jc w:val="left"/>
        <w:spacing w:line="240" w:lineRule="auto"/>
        <w:rPr>
          <w:rFonts w:ascii="宋体" w:hAnsi="宋体" w:cs="宋体"/>
          <w:color w:val="000000"/>
          <w:highlight w:val="none"/>
        </w:rPr>
      </w:pPr>
      <w:r>
        <w:rPr>
          <w:rFonts w:ascii="宋体" w:hAnsi="宋体" w:cs="宋体"/>
          <w:color w:val="000000"/>
          <w:sz w:val="28"/>
          <w:highlight w:val="none"/>
        </w:rPr>
        <mc:AlternateContent>
          <mc:Choice Requires="wpg">
            <w:drawing>
              <wp:inline xmlns:wp="http://schemas.openxmlformats.org/drawingml/2006/wordprocessingDrawing" distT="0" distB="0" distL="0" distR="0">
                <wp:extent cx="2496185" cy="1386726"/>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496185" cy="13867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96.5pt;height:109.2pt;mso-wrap-distance-left:0.0pt;mso-wrap-distance-top:0.0pt;mso-wrap-distance-right:0.0pt;mso-wrap-distance-bottom:0.0pt;" stroked="f">
                <v:path textboxrect="0,0,0,0"/>
                <v:imagedata r:id="rId25" o:title=""/>
              </v:shape>
            </w:pict>
          </mc:Fallback>
        </mc:AlternateContent>
      </w:r>
      <w:r>
        <w:rPr>
          <w:rFonts w:ascii="宋体" w:hAnsi="宋体" w:cs="宋体"/>
          <w:color w:val="000000"/>
          <w:highlight w:val="none"/>
        </w:rPr>
      </w:r>
      <w:r/>
    </w:p>
    <w:p>
      <w:pPr>
        <w:pStyle w:val="825"/>
        <w:jc w:val="left"/>
        <w:spacing w:line="240" w:lineRule="auto"/>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825"/>
        <w:jc w:val="left"/>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绿化机动施药机械样式：</w:t>
      </w:r>
      <w:r>
        <w:rPr>
          <w:rFonts w:hint="eastAsia" w:ascii="宋体" w:hAnsi="宋体" w:eastAsia="宋体" w:cs="宋体"/>
          <w:b/>
          <w:bCs/>
          <w:color w:val="000000"/>
          <w:sz w:val="24"/>
          <w:szCs w:val="24"/>
          <w:highlight w:val="none"/>
        </w:rPr>
      </w:r>
      <w:r/>
    </w:p>
    <w:p>
      <w:pPr>
        <w:pStyle w:val="825"/>
        <w:spacing w:line="240" w:lineRule="auto"/>
        <w:rPr>
          <w:rFonts w:ascii="宋体" w:hAnsi="宋体" w:cs="宋体"/>
          <w:color w:val="000000"/>
          <w:szCs w:val="21"/>
          <w:highlight w:val="none"/>
        </w:rPr>
      </w:pPr>
      <w:r>
        <w:rPr>
          <w:rFonts w:ascii="宋体" w:hAnsi="宋体" w:cs="宋体"/>
          <w:color w:val="000000"/>
          <w:szCs w:val="21"/>
          <w:highlight w:val="none"/>
        </w:rPr>
        <mc:AlternateContent>
          <mc:Choice Requires="wpg">
            <w:drawing>
              <wp:inline xmlns:wp="http://schemas.openxmlformats.org/drawingml/2006/wordprocessingDrawing" distT="0" distB="0" distL="0" distR="0">
                <wp:extent cx="2096961" cy="160528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2096961" cy="1605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65.1pt;height:126.4pt;mso-wrap-distance-left:0.0pt;mso-wrap-distance-top:0.0pt;mso-wrap-distance-right:0.0pt;mso-wrap-distance-bottom:0.0pt;" stroked="f">
                <v:path textboxrect="0,0,0,0"/>
                <v:imagedata r:id="rId26" o:title=""/>
              </v:shape>
            </w:pict>
          </mc:Fallback>
        </mc:AlternateContent>
      </w:r>
      <w:r>
        <w:rPr>
          <w:rFonts w:hint="eastAsia"/>
          <w:color w:val="000000"/>
          <w:szCs w:val="21"/>
          <w:highlight w:val="none"/>
        </w:rPr>
        <mc:AlternateContent>
          <mc:Choice Requires="wpg">
            <w:drawing>
              <wp:inline xmlns:wp="http://schemas.openxmlformats.org/drawingml/2006/wordprocessingDrawing" distT="0" distB="0" distL="0" distR="0">
                <wp:extent cx="2706459" cy="1838389"/>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2706459" cy="18383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13.1pt;height:144.8pt;mso-wrap-distance-left:0.0pt;mso-wrap-distance-top:0.0pt;mso-wrap-distance-right:0.0pt;mso-wrap-distance-bottom:0.0pt;" stroked="f">
                <v:path textboxrect="0,0,0,0"/>
                <v:imagedata r:id="rId27" o:title=""/>
              </v:shape>
            </w:pict>
          </mc:Fallback>
        </mc:AlternateContent>
      </w:r>
      <w:r>
        <w:rPr>
          <w:rFonts w:ascii="宋体" w:hAnsi="宋体" w:cs="宋体"/>
          <w:color w:val="000000"/>
          <w:szCs w:val="21"/>
          <w:highlight w:val="none"/>
        </w:rPr>
      </w:r>
      <w:r/>
    </w:p>
    <w:p>
      <w:pPr>
        <w:pStyle w:val="825"/>
        <w:jc w:val="left"/>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25"/>
        <w:jc w:val="left"/>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雾炮车</w:t>
      </w:r>
      <w:r>
        <w:rPr>
          <w:rFonts w:hint="eastAsia" w:ascii="宋体" w:hAnsi="宋体" w:eastAsia="宋体" w:cs="宋体"/>
          <w:b/>
          <w:bCs/>
          <w:color w:val="000000"/>
          <w:sz w:val="24"/>
          <w:szCs w:val="24"/>
          <w:highlight w:val="none"/>
        </w:rPr>
        <w:t xml:space="preserve">机械参考式样：</w:t>
      </w:r>
      <w:r>
        <w:rPr>
          <w:rFonts w:hint="eastAsia" w:ascii="宋体" w:hAnsi="宋体" w:eastAsia="宋体" w:cs="宋体"/>
          <w:b/>
          <w:bCs/>
          <w:color w:val="000000"/>
          <w:sz w:val="24"/>
          <w:szCs w:val="24"/>
          <w:highlight w:val="none"/>
        </w:rPr>
      </w:r>
      <w:r/>
    </w:p>
    <w:p>
      <w:pPr>
        <w:pStyle w:val="825"/>
        <w:jc w:val="left"/>
        <w:spacing w:line="240" w:lineRule="auto"/>
        <w:rPr>
          <w:rFonts w:hint="eastAsia" w:ascii="宋体" w:hAnsi="宋体" w:cs="宋体"/>
          <w:b/>
          <w:bCs/>
          <w:color w:val="000000"/>
          <w:sz w:val="28"/>
          <w:highlight w:val="none"/>
        </w:rPr>
      </w:pPr>
      <w:r>
        <mc:AlternateContent>
          <mc:Choice Requires="wpg">
            <w:drawing>
              <wp:inline xmlns:wp="http://schemas.openxmlformats.org/drawingml/2006/wordprocessingDrawing" distT="0" distB="0" distL="0" distR="0">
                <wp:extent cx="2901848" cy="1695412"/>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2901848" cy="16954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28.5pt;height:133.5pt;mso-wrap-distance-left:0.0pt;mso-wrap-distance-top:0.0pt;mso-wrap-distance-right:0.0pt;mso-wrap-distance-bottom:0.0pt;" stroked="f">
                <v:path textboxrect="0,0,0,0"/>
                <v:imagedata r:id="rId28" o:title=""/>
              </v:shape>
            </w:pict>
          </mc:Fallback>
        </mc:AlternateContent>
      </w:r>
      <w:r>
        <w:rPr>
          <w:rFonts w:hint="eastAsia" w:ascii="宋体" w:hAnsi="宋体" w:cs="宋体"/>
          <w:b/>
          <w:bCs/>
          <w:color w:val="000000"/>
          <w:sz w:val="28"/>
          <w:highlight w:val="none"/>
        </w:rPr>
      </w:r>
      <w:r/>
    </w:p>
    <w:p>
      <w:pPr>
        <w:pStyle w:val="825"/>
        <w:jc w:val="both"/>
        <w:keepLines w:val="0"/>
        <w:keepNext w:val="0"/>
        <w:pageBreakBefore w:val="0"/>
        <w:widowControl w:val="off"/>
        <w:rPr>
          <w:rFonts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附件1.2</w:t>
      </w:r>
      <w:r>
        <w:rPr>
          <w:rFonts w:ascii="宋体" w:hAnsi="宋体" w:eastAsia="宋体" w:cs="宋体"/>
          <w:b/>
          <w:color w:val="000000"/>
          <w:sz w:val="24"/>
          <w:szCs w:val="24"/>
          <w:highlight w:val="none"/>
          <w:lang w:val="en-US" w:eastAsia="zh-CN"/>
        </w:rPr>
      </w:r>
      <w:r/>
    </w:p>
    <w:p>
      <w:pPr>
        <w:pStyle w:val="825"/>
        <w:jc w:val="center"/>
        <w:keepLines w:val="0"/>
        <w:keepNext w:val="0"/>
        <w:pageBreakBefore w:val="0"/>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绿地养护技术规程</w:t>
      </w:r>
      <w:r>
        <w:rPr>
          <w:rFonts w:hint="eastAsia" w:ascii="宋体" w:hAnsi="宋体" w:eastAsia="宋体" w:cs="宋体"/>
          <w:b/>
          <w:color w:val="000000"/>
          <w:sz w:val="28"/>
          <w:szCs w:val="28"/>
          <w:highlight w:val="none"/>
        </w:rPr>
      </w:r>
      <w:r/>
    </w:p>
    <w:tbl>
      <w:tblPr>
        <w:tblW w:w="5417" w:type="pct"/>
        <w:tblInd w:w="-108" w:type="dxa"/>
        <w:tblLayout w:type="fixed"/>
        <w:tblCellMar>
          <w:left w:w="108" w:type="dxa"/>
          <w:top w:w="0" w:type="dxa"/>
          <w:right w:w="108" w:type="dxa"/>
          <w:bottom w:w="0" w:type="dxa"/>
        </w:tblCellMar>
        <w:tblLook w:val="04A0" w:firstRow="1" w:lastRow="0" w:firstColumn="1" w:lastColumn="0" w:noHBand="0" w:noVBand="1"/>
      </w:tblPr>
      <w:tblGrid>
        <w:gridCol w:w="530"/>
        <w:gridCol w:w="893"/>
        <w:gridCol w:w="1963"/>
        <w:gridCol w:w="2367"/>
        <w:gridCol w:w="2333"/>
        <w:gridCol w:w="1148"/>
      </w:tblGrid>
      <w:tr>
        <w:trPr/>
        <w:tc>
          <w:tcPr>
            <w:tcBorders>
              <w:top w:val="single" w:color="000000" w:sz="4" w:space="0"/>
              <w:left w:val="single" w:color="000000" w:sz="4" w:space="0"/>
              <w:bottom w:val="none" w:color="000000" w:sz="0" w:space="0"/>
              <w:right w:val="single" w:color="000000" w:sz="4" w:space="0"/>
            </w:tcBorders>
            <w:tcW w:w="286" w:type="dxa"/>
            <w:vAlign w:val="center"/>
            <w:vMerge w:val="restart"/>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月份</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483" w:type="dxa"/>
            <w:vAlign w:val="center"/>
            <w:vMerge w:val="restart"/>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养护内容</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062" w:type="dxa"/>
            <w:vAlign w:val="center"/>
            <w:vMerge w:val="restart"/>
            <w:textDirection w:val="lrTb"/>
            <w:noWrap w:val="false"/>
          </w:tcPr>
          <w:p>
            <w:pPr>
              <w:pStyle w:val="825"/>
              <w:ind w:right="34"/>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技术要求</w:t>
            </w: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700" w:type="dxa"/>
            <w:vAlign w:val="center"/>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具体要求</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621" w:type="dxa"/>
            <w:vAlign w:val="center"/>
            <w:vMerge w:val="restart"/>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tc>
          <w:tcPr>
            <w:tcBorders>
              <w:top w:val="none" w:color="000000" w:sz="0"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483" w:type="dxa"/>
            <w:vAlign w:val="center"/>
            <w:vMerge w:val="continue"/>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1062" w:type="dxa"/>
            <w:vAlign w:val="center"/>
            <w:vMerge w:val="continue"/>
            <w:textDirection w:val="lrTb"/>
            <w:noWrap w:val="false"/>
          </w:tcPr>
          <w:p>
            <w:pPr>
              <w:pStyle w:val="825"/>
              <w:ind w:right="34"/>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center"/>
              <w:keepLines w:val="0"/>
              <w:keepNext w:val="0"/>
              <w:pageBreakBefore w:val="0"/>
              <w:spacing w:line="360" w:lineRule="exact"/>
              <w:widowControl/>
              <w:rPr>
                <w:rFonts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核心区域</w:t>
            </w:r>
            <w:r>
              <w:rPr>
                <w:rFonts w:ascii="宋体" w:hAnsi="宋体" w:eastAsia="宋体" w:cs="宋体"/>
                <w:b/>
                <w:bCs/>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center"/>
              <w:keepLines w:val="0"/>
              <w:keepNext w:val="0"/>
              <w:pageBreakBefore w:val="0"/>
              <w:spacing w:line="360" w:lineRule="exact"/>
              <w:widowControl/>
              <w:rPr>
                <w:rFonts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非核心区域</w:t>
            </w:r>
            <w:r>
              <w:rPr>
                <w:rFonts w:ascii="宋体" w:hAnsi="宋体" w:eastAsia="宋体" w:cs="宋体"/>
                <w:b/>
                <w:bCs/>
                <w:color w:val="000000"/>
                <w:sz w:val="21"/>
                <w:szCs w:val="21"/>
                <w:highlight w:val="none"/>
                <w:lang w:val="en-US" w:eastAsia="zh-CN"/>
              </w:rPr>
            </w:r>
            <w:r/>
          </w:p>
        </w:tc>
        <w:tc>
          <w:tcPr>
            <w:tcBorders>
              <w:top w:val="none" w:color="000000" w:sz="0"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restart"/>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一月</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冬季修剪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ind w:right="34"/>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树木：清理死苗，修去病虫枝、徒长枝、过密枝、枯死枝及藤蔓寄生物，保持树形优美；安全措施符合规范要求。　　　　　　　　                                                                                </w:t>
            </w:r>
            <w:r>
              <w:rPr>
                <w:rFonts w:hint="eastAsia" w:ascii="宋体" w:hAnsi="宋体" w:eastAsia="宋体" w:cs="宋体"/>
                <w:color w:val="000000"/>
                <w:sz w:val="21"/>
                <w:szCs w:val="21"/>
                <w:highlight w:val="none"/>
                <w:lang w:val="en-US" w:eastAsia="zh-CN"/>
              </w:rPr>
            </w:r>
            <w:r/>
          </w:p>
          <w:p>
            <w:pPr>
              <w:pStyle w:val="825"/>
              <w:ind w:right="34"/>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色块：保持整齐美观，修杂乱枝及藤蔓枯枝，做到线直面平。　   </w:t>
            </w:r>
            <w:r>
              <w:rPr>
                <w:rFonts w:hint="eastAsia" w:ascii="宋体" w:hAnsi="宋体" w:eastAsia="宋体" w:cs="宋体"/>
                <w:color w:val="000000"/>
                <w:sz w:val="21"/>
                <w:szCs w:val="21"/>
                <w:highlight w:val="none"/>
              </w:rPr>
            </w:r>
            <w:r/>
          </w:p>
          <w:p>
            <w:pPr>
              <w:pStyle w:val="825"/>
              <w:ind w:right="34"/>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修剪物及时清理。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花灌木、藤本整形修剪一次；乔木整形修剪一次；大小乔木上的枯枝、伤残枝、病虫枝及妨碍架空线和建筑物的枝杈进行修剪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对于受低温冻伤的植物如杜英、茶梅、栀子、八角金盘嫩梢等，应修剪清除伤枝残叶，通修一遍，防天暖时病虫害乘虚而入。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所有养护区域草坪、色块修剪一次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花灌木、藤本整形修剪一次；乔木整形修剪一次；大小乔木上的枯枝、伤残枝、病虫枝及妨碍架空线和建筑物的枝杈进行修剪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对于受低温冻伤的植物如杜英、茶梅、栀子、八角金盘嫩梢等，应修剪清除伤枝残叶，通修一遍，防天暖时病虫害乘虚而入。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所有养护区域草坪、色块修剪一次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本月为冬季养护工作的关键阶段，属冬季养护质量、措施巩固提高阶段。尤其注意施肥实施。　　　　　　　　</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一般树木补缺（适宜冬季补缺的树种）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ind w:right="34"/>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树木：品种、规格种植点必须符合原设计要求或原种植方案。带冠栽种并支撑固定。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色块地被：品种、种植方式按原方案，规格与现场一致或合理调整，确保效果整齐美观。　　　　　　　　　</w:t>
            </w:r>
            <w:r>
              <w:rPr>
                <w:rFonts w:hint="eastAsia" w:ascii="宋体" w:hAnsi="宋体" w:eastAsia="宋体" w:cs="宋体"/>
                <w:color w:val="000000"/>
                <w:sz w:val="21"/>
                <w:szCs w:val="21"/>
                <w:highlight w:val="none"/>
              </w:rPr>
            </w:r>
            <w:r/>
          </w:p>
          <w:p>
            <w:pPr>
              <w:pStyle w:val="825"/>
              <w:ind w:right="34"/>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草坪：品种按原方案,密度要求：黄土不裸。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冬季土壤冻结，没有要求一般不补种。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冬季土壤冻结，没有要求一般不补种。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深施基肥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ind w:right="34"/>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行道树：开环状沟或开塘穴施复合肥。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色块、草坪：普施有机肥。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施肥量：单株苗木：</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公分以上2公斤/株（行道树）；其他树木、色块、地被、草坪：15公斤/亩。　　                       </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施肥均匀，适时，严禁烧苗。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草坪，花、灌木冬季施用堆肥或泥炭土，每亩施用有机肥50公斤；乔木10公分以上2公斤/株，十公分一下1.5公斤/株，增强植物生长，提高植物抵御病虫侵害的能力。</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要求普施有机肥。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草坪，花、灌木冬季施用堆肥或泥炭土，每亩施用有机肥50公斤；乔木10公分以上2公斤/株，十公分一下1.5公斤/株，增强植物生长，提高植物抵御病虫侵害的能力。</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要求普施有机肥。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防冻保暖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ind w:right="34"/>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戴帽：对易受冻害植物用双层塑料膜加稻草或其它材料防冻。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遇有大雪,对易遭雪压的植物要组织打雪。                             </w:t>
            </w:r>
            <w:r>
              <w:rPr>
                <w:rFonts w:hint="eastAsia" w:ascii="宋体" w:hAnsi="宋体" w:eastAsia="宋体" w:cs="宋体"/>
                <w:color w:val="000000"/>
                <w:sz w:val="21"/>
                <w:szCs w:val="21"/>
                <w:highlight w:val="none"/>
              </w:rPr>
            </w:r>
            <w:r/>
          </w:p>
          <w:p>
            <w:pPr>
              <w:pStyle w:val="825"/>
              <w:ind w:right="34"/>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对新栽、不耐寒树种树干基部以上缠绕草绳、塑料膜御寒。　　　                                 </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天气干燥，在晴天对植物适当浇水，保持土壤湿润。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绿地内注意防冻浇水，过于干旱可适当再浇水；选择中午时间段浇水。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绿地内注意防冻浇水，过于干旱可适当再浇水；选择中午时间段浇水。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防除越冬虫害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ind w:right="34"/>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消灭越冬虫包、虫茧和幼虫。　　　　　　                         　</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单株树木在主干1.3米处以下涂石灰液（浆）加盐刷白，做到涂布均匀，上缘平整。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冬季是消灭园林害虫的有利季节。可在树下疏松的土中挖集刺蛾的虫蛹、虫茧，集中烧死。1月中旬的时候，蚧壳虫类开始活动，但这时候行动迟缓，我们可以采取刮除树干上的幼虫的方法。在冬季防治害虫，往往有事半功倍的效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冬季是消灭园林害虫的有利季节。可在树下疏松的土中挖集刺蛾的虫蛹、虫茧，集中烧死。1月中旬的时候，蚧壳虫类开始活动，但这时候行动迟缓，我们可以采取刮除树干上的幼虫的方法。在冬季防治害虫，往往有事半功倍的效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土壤深翻熟化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ind w:right="34"/>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对草坪、色块地被空隙地深翻20－25公分。</w:t>
            </w:r>
            <w:r>
              <w:rPr>
                <w:rFonts w:hint="eastAsia" w:ascii="宋体" w:hAnsi="宋体" w:eastAsia="宋体" w:cs="宋体"/>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养护区域内植株缺株，做好补植树木开塘工作。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除行道树与孤值景观树之外，不要求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除行道树与孤值景观树之外，不要求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鲜花管理（如有需要）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ind w:right="34"/>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对元旦更换、摆放鲜花加强管理。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加强节日期间鲜花摆放管理，被破坏地方及时更换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加强节日期间鲜花摆放管理，被破坏地方及时更换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绿地清理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ind w:right="34"/>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清理死株、死苗、及形态差影响景观的半死半活的树木。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及时清理绿地中杂物、杂草。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1.绿地内杂物及时清理，每月两次。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2.专职巡查人员和养护人员加强巡查。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3.绿地范围内如有乱开挖和损坏绿地、苗木的案件（事件），及时恢复及时报告。　　                                                        4.注意落叶绿化，防治绿化被野火烧毁。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5.及时检查行道树绑扎、立桩情况，发现松绑、铅丝嵌皮、摇桩等情况时立即整改。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1.绿地内杂物及时清理，每月两次。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2.专职巡查人员和养护人员加强巡查。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3.绿地范围内如有乱开挖和损坏绿地、苗木的案件（事件），及时恢复及时报告。　　                                                        4.注意落叶绿化，防治绿化被野火烧毁。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5.及时检查行道树绑扎、立桩情况，发现松绑、铅丝嵌皮、摇桩等情况时立即整改。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其它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ind w:right="34"/>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1、专职人员加强巡回检查，及时发现损坏绿地、苗木的案件，不属责职范围内的应及时报告。　　　　　　　　　　2、做好冬季防火工作。                                           3、对行道树、单株乔木支撑或检查加固。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1.专职巡查人员和养护人员加强巡查，每周循环检查</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次。</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2.绿地范围内如有乱开挖和损坏绿地、苗木的案件（事件），及时恢复及时报告。　　                                                        3.注意落叶绿化，防治绿化被野火烧毁。　　　　　　　                                                 4.及时检查行道树绑扎、立桩情况，发现松绑、铅丝嵌皮、摇桩等情况时立即整改。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1.专职巡查人员和养护人员加强巡查，每周循环检查</w:t>
            </w:r>
            <w:r>
              <w:rPr>
                <w:rFonts w:hint="eastAsia" w:ascii="宋体" w:hAnsi="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次。</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2.绿地范围内如有乱开挖和损坏绿地、苗木的案件（事件），及时恢复及时报告。　　                                                        3.注意落叶绿化，防治绿化被野火烧毁。　　　　　　　                                                 4.及时检查行道树绑扎、立桩情况，发现松绑、铅丝嵌皮、摇桩等情况时立即整改。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restart"/>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二月</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继续冬季修季、深施基肥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对一月未完成地段按计划要求继续，要求同一月。</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"http://www.gdlifang.com/product.aspx"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继续对大小乔木的枯枝、病枝进行修剪。月底以前，各种树木修剪工作完成</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"http://www.gdlifang.com/product.aspx"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继续对大小乔木的枯枝、病枝进行修剪。月底以前，各种树木修剪工作完成</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pStyle w:val="825"/>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冬季养护工作的尾期，主要是冬季养护效果的检查及早春病虫害防治。</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center"/>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一般树木补缺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继续进行一般树木的补植,本月上旬可开始竹类的补植.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同一月</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同一月</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center"/>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防冻保暖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加强对防冻保暖措施的检查和加固。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其它同一月。</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同一月</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同一月</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center"/>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绿地清理及其它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及时清除绿地杂物。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专职人员加强巡回检查，及时发现损坏绿地、苗木的案件，不属责职范围内的应及时报告。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做好冬季防火工作。                           </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对行道树、单株乔木支撑或检查加固。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1.绿地内杂物及时清理，每月两次。　　　　　　                                2.专职巡查人员和养护人员加强巡查，每周循环检查</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次。                                           3.绿地范围内如有乱开挖和损坏绿地、苗木的案件（事件），及时恢复及时报告。　　                                                        4.注意落叶绿化，防治绿化被野火烧毁。　　　　　　　                                                 5.及时检查行道树绑扎、立桩情况，发现松绑、铅丝嵌皮、摇桩等情况时立即整改。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1.绿地内杂物及时清理，每月</w:t>
            </w:r>
            <w:r>
              <w:rPr>
                <w:rFonts w:hint="eastAsia" w:ascii="宋体" w:hAnsi="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次。　　　　　　                                2.专职巡查人员和养护人员加强巡查，每周循环检查</w:t>
            </w:r>
            <w:r>
              <w:rPr>
                <w:rFonts w:hint="eastAsia" w:ascii="宋体" w:hAnsi="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次。                                           3.绿地范围内如有乱开挖和损坏绿地、苗木的案件（事件），及时恢复及时报告。　　                                                        4.注意落叶绿化，防治绿化被野火烧毁。　　　　　　　                                                 5.及时检查行道树绑扎、立桩情况，发现松绑、铅丝嵌皮、摇桩等情况时立即整改。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top"/>
            <w:vMerge w:val="continue"/>
            <w:textDirection w:val="lrTb"/>
            <w:noWrap w:val="false"/>
          </w:tcPr>
          <w:p>
            <w:pPr>
              <w:pStyle w:val="825"/>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防除越冬虫害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消灭越冬虫包、虫茧和幼虫。　　</w:t>
            </w:r>
            <w:r>
              <w:rPr>
                <w:rFonts w:hint="eastAsia" w:ascii="宋体" w:hAnsi="宋体" w:eastAsia="宋体" w:cs="宋体"/>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加强病虫害发生预测预报，发现病虫害及时防治。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1.樟、桂花等植物叶片上有叶螨卵、成螨和若螨建议花保80倍液或中保杀螨3000倍液或者蛾螨灵1800倍液喷雾，半个月后再次喷杀；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2.其他病虫害：粉虱，樟木虱，草履蚧等蚧虫，蚜虫，重阳木斑蛾，黄杨绢野螟，栀子、樟、杜鹃等黄化病，大叶黄杨、桂花、山茶叶斑病、女贞炭疽病，月季黑斑病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1.樟、桂花等植物叶片上有叶螨卵、成螨和若螨建议花保80倍液或中保杀螨3000倍液或者蛾螨灵1800倍液喷雾，半个月后再次喷杀；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2.其他病虫害：粉虱，樟木虱，草履蚧等蚧虫，蚜虫，重阳木斑蛾，黄杨绢野螟，栀子、樟、杜鹃等黄化病，大叶黄杨、桂花、山茶叶斑病、女贞炭疽病，月季黑斑病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restart"/>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三月</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整形修剪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花灌木、色块地被：清理死苗，修去病虫枝、徒长枝、过密枝、枯死枝及藤蔓寄生物，保持树形优美；安全措施符合规范要求。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色块：保持整齐美观，修杂乱枝及藤蔓枯枝，做到线直面平。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草坪适时修剪1－2次，保持草坪整齐美观。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修剪物及时清理。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1.乔木主要修剪荫枝、下垂枝、干枯枝、侧缘线、下缘线以外枝，下缘线根据现场实际情况控制整齐，一般在1.8-2.5米。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2.开花植物应在花芽萌动前修剪干枯枝、冻伤枝。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 绿篱、板块该月根据生长情况修剪一次。                                                                                               4.草坪修剪一次，并将长出路牙的草去掉。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1.乔木主要修剪荫枝、下垂枝、干枯枝、侧缘线、下缘线以外枝，下缘线根据现场实际情况控制整齐，一般在1.8-2.5米。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2.开花植物应在花芽萌动前修剪干枯枝、冻伤枝。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 绿篱、板块该月根据生长情况修剪一次。                                                                                               4.草坪修剪一次，并将长出路牙的草去掉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本月养护工作重点是补缺、整形修剪。</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center"/>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苗木补缺（不适宜冬季补缺的树木、人为踩出的土路和黄土裸露、花坛缺株进行补植）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树木：品种、规格种植点必须符合原设计要求或原种植方案。带冠栽种并支撑固定。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色块地被：品种、种植方式按原方案，规格与现场一致或合理调整，确保效果整齐美观。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草坪：品种按原方案,密度黄土不裸。　　                             </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配合春季植树活动。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春季是植树的有利时机。土壤解冻后，应立即抓紧时机补种。植大小乔木前作好规划设计，事先挖（刨）好树坑，要做到随挖、随运、随种、随浇水。种植灌木时也应做到随挖、随运、随种，并充分浇水，以提高苗木存活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春季是植树的有利时机。土壤解冻后，应立即抓紧时机补种。植大小乔木前作好规划设计，事先挖（刨）好树坑，要做到随挖、随运、随种、随浇水。种植灌木时也应做到随挖、随运、随种，并充分浇水，以提高苗木存活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center"/>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适时撤除防寒设施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5日平均气温摄氏10度，寒潮已过适时撤除。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根据当年实际温度操作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根据当年实际温度操作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center"/>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防病治虫（主要是早春发生的病虫害）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坚持以防为主，综合防治；</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病虫害：主要是蚜虫、红蜘蛛、白粉病、煤污病等；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对症下药，防治及时；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需设专职技术人员巡查。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草履蚧等蚧虫，各类蚜虫，黑刺粉虱，方翅网椿，重阳木斑蛾，黄杨绢野螟，叶螨，叶蝉，葱兰炭疽病，梨桧锈病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草履蚧等蚧虫，各类蚜虫，黑刺粉虱，方翅网椿，重阳木斑蛾，黄杨绢野螟，叶螨，叶蝉，葱兰炭疽病，梨桧锈病</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center"/>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浇水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根据天气情况适时浇水。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连续一个月无降雨及时浇水；每次浇水浇湿土层在10cm以上。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连续一个月无降雨及时浇水；每次浇水浇湿土层在10cm以上。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center"/>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除草和绿地清理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及时清除杂草、杂物、落叶，保持绿地整洁。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需清除1-2次；绿地杂物随见随清。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需清除1-2次；绿地杂物随见随清。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center"/>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施肥（绿地和苗木普施）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品种以复合肥为主；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施肥量每亩15公斤左右。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1.草坪，花、灌木每亩15公斤复合肥均匀施下。然后浇足量水，让肥料充分溶解渗透。                                                       2.乔木施肥要求：胸径（干径）&lt;10cm时，用量不少于1.5kg/棵；胸径（干径）&gt;10cm时，用量不少于为2kg/棵，复合肥随灌水或降雨环施，保证肥料充分溶解渗入树木根系。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1.草坪，花、灌木每亩15公斤复合肥均匀施下。然后浇足量水，让肥料充分溶解渗透。                                                       2.乔木施肥要求：胸径（干径）&lt;10cm时，用量不少于1.5kg/棵；胸径（干径）&gt;10cm时，用量不少于为2kg/棵，复合肥随灌水或降雨环施，保证肥料充分溶解渗入树木根系。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center"/>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其它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专职人员加强巡回检查，及时发现损坏绿地、苗木的案件，不属责职范围内的应及时报告；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对行道树、单株乔木支撑或检查加固。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1.绿地内杂物及时清理。每月两次。</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2.绿地范围内如有乱开挖和损坏绿地、苗木的案件（事件），及时恢复及时报告。　　                                                        3.及时检查行道树绑扎、立桩情况，发现松绑、铅丝嵌皮、摇桩等情况时立即整改。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1.绿地内杂物及时清理。每月</w:t>
            </w:r>
            <w:r>
              <w:rPr>
                <w:rFonts w:hint="eastAsia" w:ascii="宋体" w:hAnsi="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次。</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2.绿地范围内如有乱开挖和损坏绿地、苗木的案件（事件），及时恢复及时报告。　　                                                        3.及时检查行道树绑扎、立桩情况，发现松绑、铅丝嵌皮、摇桩等情况时立即整改。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286" w:type="dxa"/>
            <w:vAlign w:val="center"/>
            <w:vMerge w:val="restart"/>
            <w:textDirection w:val="lrTb"/>
            <w:noWrap w:val="false"/>
          </w:tcPr>
          <w:p>
            <w:pPr>
              <w:pStyle w:val="825"/>
              <w:jc w:val="both"/>
              <w:keepLines w:val="0"/>
              <w:keepNext w:val="0"/>
              <w:pageBreakBefore w:val="0"/>
              <w:spacing w:line="360" w:lineRule="exact"/>
              <w:widowControl/>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四月</w:t>
            </w:r>
            <w:r>
              <w:rPr>
                <w:rFonts w:hint="eastAsia" w:ascii="宋体" w:hAnsi="宋体" w:eastAsia="宋体" w:cs="宋体"/>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整形修剪（每月2次）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花灌木、色块地被：清理死苗，修去病虫枝、徒长枝、过密枝、枯死枝、萌芽技及藤蔓寄生物，保持树形优美；安全措施符合规范要求；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色块：保持整齐美观，修杂乱枝及藤蔓枯枝，做到线直面平；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草坪适时修剪1－3次；　　　　　　　　　　       </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修剪物及时清理。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1.乔木主要修剪荫枝、下垂枝、干枯枝、侧缘线、下缘线以外枝，下缘线要控制在1.8-2.5米，一个月作业一次。                                                                          2.花木剥萌蘖芽，一个月作业一次。                                                                        3.绿篱、板块、草坪等该月根据生长情况修剪1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次。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1.乔木主要修剪荫枝、下垂枝、干枯枝、侧缘线、下缘线以外枝，下缘线要控制在1.8-2.5米，一个月作业一次。                                                                          2.花木剥萌蘖芽，一个月作业一次。                                                                        3.绿篱、板块、草坪等该月根据生长情况修剪</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pStyle w:val="825"/>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本月养护工作重点是防病治虫和除草。</w:t>
            </w:r>
            <w:r>
              <w:rPr>
                <w:rFonts w:hint="eastAsia" w:ascii="宋体" w:hAnsi="宋体" w:eastAsia="宋体" w:cs="宋体"/>
                <w:color w:val="000000"/>
                <w:sz w:val="21"/>
                <w:szCs w:val="21"/>
                <w:highlight w:val="none"/>
              </w:rPr>
            </w:r>
            <w:r/>
          </w:p>
        </w:tc>
      </w:tr>
      <w:tr>
        <w:trPr>
          <w:trHeight w:val="408"/>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center"/>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防病治虫（全年防病治虫关键月）</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坚持以防为主，综合防治，最大限度的控制病虫基数；</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病虫害：主要是锈病、炭疽病，白粉病、叶斑病、蚜虫、红蜘蛛、柳毒蛾、天幕毛虫、蚧壳虫、天牛等。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对症下药，防治及时。　　　　　　　　　　      </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需设专职技术人员巡查。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1.蚧壳虫在第二次蜕皮后陆续转移到树皮裂缝内、树洞、树干基部、墙角等处分泌白色蜡质薄茧化蛹。可以用硬竹扫帚扫除，然后集中深埋或浸泡。或者采用喷洒杀螟松等农药的方法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2.天牛、木蠹蛾开始活动了，可以采用嫁接刀或自制钢丝挑除幼虫，但是伤口要做到越小越好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3.月季黑斑病 喷灭菌成或烯唑醇2000倍液，10天左右喷一次。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4.柳叶甲、金叶女贞潜叶跳甲 成虫开始活动 用苦烟乳油1000倍液喷杀。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5.其他病虫害叶蝉、白粉病、葱兰炭疽病、大叶黄杨斑蛾等发现及时防治。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1.蚧壳虫在第二次蜕皮后陆续转移到树皮裂缝内、树洞、树干基部、墙角等处分泌白色蜡质薄茧化蛹。可以用硬竹扫帚扫除，然后集中深埋或浸泡。或者采用喷洒杀螟松等农药的方法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2.天牛、木蠹蛾开始活动了，可以采用嫁接刀或自制钢丝挑除幼虫，但是伤口要做到越小越好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3.月季黑斑病 喷灭菌成或烯唑醇2000倍液，10天左右喷一次。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4.柳叶甲、金叶女贞潜叶跳甲 成虫开始活动 用苦烟乳油1000倍液喷杀。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5.其他病虫害叶蝉、白粉病、葱兰炭疽病、大叶黄杨斑蛾等发现及时防治。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center"/>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抗旱排涝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根据天气情况适时浇水或排除积水。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连续一个月无降雨及时浇水；每次浇水浇湿土层在10cm以上。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连续一个月无降雨及时浇水；每次浇水浇湿土层在10cm以上。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center"/>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杂草防除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坚持“除早、除小、除了”原则，及时连根清理；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及时清除杂草、杂物，保持绿地整洁；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人工清除，需要除草剂需上报经</w:t>
            </w:r>
            <w:r>
              <w:rPr>
                <w:rFonts w:hint="eastAsia" w:ascii="宋体" w:hAnsi="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同意后使用。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各类杂草每10—15天清除一次。绿地杂物随见随清。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各类杂草每</w:t>
            </w:r>
            <w:r>
              <w:rPr>
                <w:rFonts w:hint="eastAsia" w:ascii="宋体" w:hAnsi="宋体" w:cs="宋体"/>
                <w:color w:val="000000"/>
                <w:sz w:val="21"/>
                <w:szCs w:val="21"/>
                <w:highlight w:val="none"/>
                <w:lang w:val="en-US" w:eastAsia="zh-CN"/>
              </w:rPr>
              <w:t xml:space="preserve">15-20</w:t>
            </w:r>
            <w:r>
              <w:rPr>
                <w:rFonts w:hint="eastAsia" w:ascii="宋体" w:hAnsi="宋体" w:eastAsia="宋体" w:cs="宋体"/>
                <w:color w:val="000000"/>
                <w:sz w:val="21"/>
                <w:szCs w:val="21"/>
                <w:highlight w:val="none"/>
              </w:rPr>
              <w:t xml:space="preserve">天清除一次。绿地杂物随见随清。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center"/>
              <w:keepLines w:val="0"/>
              <w:keepNext w:val="0"/>
              <w:pageBreakBefore w:val="0"/>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其它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及时清除绿地杂物；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专职人员加强巡回检查，及时发现损坏绿地、苗木的案件，不属责职范围内的应及时报告；</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对行道树、单株乔木支撑或检查加固。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专职巡查人员和养护人员加强巡查，每周循环检查</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次。</w:t>
            </w:r>
            <w:r>
              <w:rPr>
                <w:rFonts w:hint="eastAsia" w:ascii="宋体" w:hAnsi="宋体" w:eastAsia="宋体" w:cs="宋体"/>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绿地范围内如有乱开挖和损坏绿地、苗木的案件（事件），及时恢复及时报告；</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及时检查行道树绑扎、立桩情况，发现松绑、铅丝嵌皮、摇桩等情况时立即整改。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专职巡查人员和养护人员加强巡查，每周循环检查</w:t>
            </w:r>
            <w:r>
              <w:rPr>
                <w:rFonts w:hint="eastAsia" w:ascii="宋体" w:hAnsi="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次。</w:t>
            </w:r>
            <w:r>
              <w:rPr>
                <w:rFonts w:hint="eastAsia" w:ascii="宋体" w:hAnsi="宋体" w:eastAsia="宋体" w:cs="宋体"/>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绿地范围内如有乱开挖和损坏绿地、苗木的案件（事件），及时恢复及时报告；</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及时检查行道树绑扎、立桩情况，发现松绑、铅丝嵌皮、摇桩等情况时立即整改。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90"/>
        </w:trPr>
        <w:tc>
          <w:tcPr>
            <w:tcBorders>
              <w:top w:val="single" w:color="000000" w:sz="4" w:space="0"/>
              <w:left w:val="single" w:color="000000" w:sz="4" w:space="0"/>
              <w:bottom w:val="single" w:color="000000" w:sz="4" w:space="0"/>
              <w:right w:val="single" w:color="000000" w:sz="4" w:space="0"/>
            </w:tcBorders>
            <w:tcW w:w="286" w:type="dxa"/>
            <w:vAlign w:val="center"/>
            <w:vMerge w:val="restart"/>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五月</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整形修剪（每月至少2次）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花灌木、色块地被：清理死苗，修去病虫枝、徒长枝、过密枝、枯死枝、萌芽枝、花后植物的花梗及藤蔓寄生物，保持树形优美；安全措施符合规范要求。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色块：保持整齐美观，修杂乱枝及藤蔓枯枝，做到线直面平。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草坪适时修剪2次。　                          </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修剪物及时清理。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每月一次乔木剥芽修剪。                                                                          2. 每月一次花木剥萌蘖芽。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3.所有区域绿篱、板块、草坪等该月根据生长情况至少修剪2次。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每月一次乔木剥芽修剪。                                                                          2. 每月一次花木剥萌蘖芽。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3.所有区域绿篱、板块、草坪等该月根据生长情况至少修剪</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本月养护工作重点是除草、病虫害防治和整形修剪</w:t>
            </w:r>
            <w:r>
              <w:rPr>
                <w:rFonts w:hint="eastAsia" w:ascii="宋体" w:hAnsi="宋体" w:eastAsia="宋体" w:cs="宋体"/>
                <w:color w:val="000000"/>
                <w:sz w:val="21"/>
                <w:szCs w:val="21"/>
                <w:highlight w:val="none"/>
              </w:rPr>
            </w:r>
            <w:r/>
          </w:p>
        </w:tc>
      </w:tr>
      <w:tr>
        <w:trPr>
          <w:trHeight w:val="2025"/>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防病治虫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坚持以防为主，综合防治，最大限度地控制病虫基数。　　　　　　</w:t>
            </w:r>
            <w:r>
              <w:rPr>
                <w:rFonts w:hint="eastAsia" w:ascii="宋体" w:hAnsi="宋体" w:eastAsia="宋体" w:cs="宋体"/>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病虫害：主要是蚜虫、刺蛾、黑斑病、白粉病、叶斑病、红蜘蛛、金龟子、蚧壳虫、地老虎等。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对症下药，防治及时。　　　　　　　　　　</w:t>
            </w:r>
            <w:r>
              <w:rPr>
                <w:rFonts w:hint="eastAsia" w:ascii="宋体" w:hAnsi="宋体" w:eastAsia="宋体" w:cs="宋体"/>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需设专职技术人员巡查。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1.蚜虫危害在栾树、香樟、红叶李、月季、海桐、杜鹃、栀子、樱花、木槿、慈孝竹等植物嫩梢上大面积发生，用花保100倍液防治。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2.继续捕捉天牛、蠹蛾；灯光诱杀金龟子。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3.刺蛾第一代孵化，但尚未达到危害程度，根据养护区内的实际情况做出相应措施。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由蚧壳虫、蚜虫等引起的煤污病也进入了盛发期（在紫薇、海桐、夹竹桃等上），在5月中、下旬喷洒10—20倍的松脂合剂及50%三硫磷乳剂1500—2000倍液以防治病害及杀死虫害。（其它可用扑杀磷、杀虫素、树大夫等农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1.蚜虫危害在栾树、香樟、红叶李、月季、海桐、杜鹃、栀子、樱花、木槿、慈孝竹等植物嫩梢上大面积发生，用花保100倍液防治。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2.继续捕捉天牛、蠹蛾；灯光诱杀金龟子。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3.刺蛾第一代孵化，但尚未达到危害程度，根据养护区内的实际情况做出相应措施。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由蚧壳虫、蚜虫等引起的煤污病也进入了盛发期（在紫薇、海桐、夹竹桃等上），在5月中、下旬喷洒10—20倍的松脂合剂及50%三硫磷乳剂1500—2000倍液以防治病害及杀死虫害。（其它可用扑杀磷、杀虫素、树大夫等农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抗旱排涝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根据天气情况适时浇水或排除绿地、树坑基部积水。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养护区域连续一个月无降雨及时浇水；每次浇水浇湿土层在10cm以上。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养护区域连续一个月无降雨及时浇水；每次浇水浇湿土层在10cm以上。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杂草防除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坚持“除早、除小、除了”原则，及时连根清理。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及时清除杂草、杂物，保持绿地整洁。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人工清除，需要除草剂需上报经</w:t>
            </w:r>
            <w:r>
              <w:rPr>
                <w:rFonts w:hint="eastAsia" w:ascii="宋体" w:hAnsi="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同意后使用。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各类杂草每10—15天清除一次。绿地杂物随见随清。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各类杂草每1</w:t>
            </w:r>
            <w:r>
              <w:rPr>
                <w:rFonts w:hint="eastAsia" w:ascii="宋体" w:hAnsi="宋体" w:cs="宋体"/>
                <w:color w:val="000000"/>
                <w:sz w:val="21"/>
                <w:szCs w:val="21"/>
                <w:highlight w:val="none"/>
                <w:lang w:val="en-US" w:eastAsia="zh-CN"/>
              </w:rPr>
              <w:t xml:space="preserve">5-20</w:t>
            </w:r>
            <w:r>
              <w:rPr>
                <w:rFonts w:hint="eastAsia" w:ascii="宋体" w:hAnsi="宋体" w:eastAsia="宋体" w:cs="宋体"/>
                <w:color w:val="000000"/>
                <w:sz w:val="21"/>
                <w:szCs w:val="21"/>
                <w:highlight w:val="none"/>
              </w:rPr>
              <w:t xml:space="preserve">天清除一次。绿地杂物随见随清。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其它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及时清除绿地杂物。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专职人员加强巡回检查，及时发现损坏绿地、苗木的案件，不属责职范围内的应及时报告。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对行道树、单株乔木支撑或检查加固。</w:t>
            </w:r>
            <w:r>
              <w:rPr>
                <w:rFonts w:hint="eastAsia" w:ascii="宋体" w:hAnsi="宋体" w:eastAsia="宋体" w:cs="宋体"/>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加强鲜花管理。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专职巡查人员和养护人员加强巡查，每周循环检查</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次。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绿地范围内如有乱开挖和损坏绿地、苗木的案件（事件），及时恢复及时报告。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及时检查行道树绑扎、立桩情况，发现松绑、铅丝嵌皮、摇桩等情况时立即整改。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鲜花摆放、种植不符合时间要求需更换（如有需要，不另计价）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专职巡查人员和养护人员加强巡查，每周循环检查</w:t>
            </w:r>
            <w:r>
              <w:rPr>
                <w:rFonts w:hint="eastAsia" w:ascii="宋体" w:hAnsi="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次。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绿地范围内如有乱开挖和损坏绿地、苗木的案件（事件），及时恢复及时报告。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及时检查行道树绑扎、立桩情况，发现松绑、铅丝嵌皮、摇桩等情况时立即整改。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鲜花摆放、种植不符合时间要求需更换（如有需要，不另计价）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305"/>
        </w:trPr>
        <w:tc>
          <w:tcPr>
            <w:tcBorders>
              <w:top w:val="single" w:color="000000" w:sz="4" w:space="0"/>
              <w:left w:val="single" w:color="000000" w:sz="4" w:space="0"/>
              <w:bottom w:val="single" w:color="000000" w:sz="4" w:space="0"/>
              <w:right w:val="single" w:color="000000" w:sz="4" w:space="0"/>
            </w:tcBorders>
            <w:tcW w:w="286" w:type="dxa"/>
            <w:vAlign w:val="center"/>
            <w:vMerge w:val="restart"/>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六月</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整形修剪（每月至少2次）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花灌木、色块地被：清理死苗，修去病虫枝、徒长枝、过密枝、枯死枝、萌芽枝、花后植物的花梗及藤蔓寄生物，保持树形优美，安全措施符合规范要求；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草坪、色块：适时修剪，保持整齐美观，做到线直面平；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修剪物及时清理。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1.每月一次乔木剥芽修剪。</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2.花灌木清理死苗，修去病虫枝、徒长枝、过密枝、枯死枝、萌芽枝、花后植物的花梗及藤蔓寄生物，保持树形优美，每月一次。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3.绿篱、色块保持整齐美观，修杂乱枝及藤蔓枯枝，做到线直面平。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所有区域绿篱、板块、草坪等该月根据生长情况至少修剪2次；果岭草、高羊茅草坪每次修剪留茬高度5~6厘米。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1.每月一次乔木剥芽修剪。</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2.花灌木清理死苗，修去病虫枝、徒长枝、过密枝、枯死枝、萌芽枝、花后植物的花梗及藤蔓寄生物，保持树形优美，每月一次。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3.绿篱、色块保持整齐美观，修杂乱枝及藤蔓枯枝，做到线直面平。          </w:t>
            </w:r>
            <w:r>
              <w:rPr>
                <w:rFonts w:hint="eastAsia" w:ascii="宋体" w:hAnsi="宋体" w:eastAsia="宋体" w:cs="宋体"/>
                <w:color w:val="000000"/>
                <w:sz w:val="21"/>
                <w:szCs w:val="21"/>
                <w:highlight w:val="none"/>
              </w:rPr>
            </w:r>
            <w:r/>
          </w:p>
          <w:p>
            <w:pPr>
              <w:pStyle w:val="825"/>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所有区域绿篱、板块、草坪等该月根据生长情况至少修剪2次；果岭草、高羊茅草坪每次修剪留茬高度5~6厘米。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本月养护工作重点是除草、病虫害防治和抗旱排涝。</w:t>
            </w:r>
            <w:r>
              <w:rPr>
                <w:rFonts w:hint="eastAsia" w:ascii="宋体" w:hAnsi="宋体" w:eastAsia="宋体" w:cs="宋体"/>
                <w:color w:val="000000"/>
                <w:sz w:val="21"/>
                <w:szCs w:val="21"/>
                <w:highlight w:val="none"/>
              </w:rPr>
            </w:r>
            <w:r/>
          </w:p>
        </w:tc>
      </w:tr>
      <w:tr>
        <w:trPr>
          <w:trHeight w:val="159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防病治虫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坚持以防为主，综合防治，最大限度地控制病虫基数；</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病虫害：主要是黑斑病、叶斑病、红蜘蛛、金龟子、刺蛾、尺蠖、蝽象、樟巢螟、天牛、黄杨卷叶螟等；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对症下药，防治及时；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需设专职技术人员巡查。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刺蛾6月中旬至7月下旬为第1代幼虫为害期，被害寄主广泛，主要有杨、柳、悬铃木、重阳木、栾树、乌桕、无患子、苦楝、喜树、杜英、樱花、紫荆，采用50%杀螟松乳剂500—800倍液喷洒。（或用复合BT乳剂进行喷施）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2.樟巢螟预计6月中旬左右出现第一代幼虫，6月下旬趁低龄且粘结叶片较少时防治，及时剪除，并销毁虫巢。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3.天牛 6月为多种天牛成虫羽化盛期，采用人工捕杀或喷绿色威雷300倍液触杀成虫，减少其下代危害。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4.黄杨绢野螟 6月上中旬发生第一代幼虫危害，阿维毒1500倍液或灭幼脲2000倍喷虫苞，或摘除虫苞销毁。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5.草坪害虫 斜纹夜蛾、淡剑夜蛾、灰翅夜蛾、地老虎等草坪害虫危害6月显现，6月中下旬用地虫杀星剂拌土撒施或用奥力克500倍浇灌当月至少防治两次。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6.其他病虫害介壳虫 蚜虫 网椿 粉虱 木虱 叶部病害等发现及时防治。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刺蛾6月中旬至7月下旬为第1代幼虫为害期，被害寄主广泛，主要有杨、柳、悬铃木、重阳木、栾树、乌桕、无患子、苦楝、喜树、杜英、樱花、紫荆，采用50%杀螟松乳剂500—800倍液喷洒。（或用复合BT乳剂进行喷施）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2.樟巢螟预计6月中旬左右出现第一代幼虫，6月下旬趁低龄且粘结叶片较少时防治，及时剪除，并销毁虫巢。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3.天牛 6月为多种天牛成虫羽化盛期，采用人工捕杀或喷绿色威雷300倍液触杀成虫，减少其下代危害。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4.黄杨绢野螟 6月上中旬发生第一代幼虫危害，阿维毒1500倍液或灭幼脲2000倍喷虫苞，或摘除虫苞销毁。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5.草坪害虫 斜纹夜蛾、淡剑夜蛾、灰翅夜蛾、地老虎等草坪害虫危害6月显现，6月中下旬用地虫杀星剂拌土撒施或用奥力克500倍浇灌当月至少防治两次。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6.其他病虫害介壳虫 蚜虫 网椿 粉虱 木虱 叶部病害等发现及时防治。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9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浇水、排涝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根据天气情况适时浇水或排除绿地、树坑基部积水。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浇水应浇透。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时间为早、晚，避开中午高温。</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养护区域连续一个月无降雨及时浇水；每次浇水浇湿土层在10cm以上。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养护区域连续一个月无降雨及时浇水；每次浇水浇湿土层在10cm以上。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9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杂草防除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坚持“除早、除小、除了”原则，及时连根清理。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及时清除杂草、杂物，保持绿地整洁。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人工清除，需要除草剂需上报经</w:t>
            </w:r>
            <w:r>
              <w:rPr>
                <w:rFonts w:hint="eastAsia" w:ascii="宋体" w:hAnsi="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同意后使用。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各类杂草每10—15天清除一次。绿地杂物随见随清。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各类杂草每1</w:t>
            </w:r>
            <w:r>
              <w:rPr>
                <w:rFonts w:hint="eastAsia" w:ascii="宋体" w:hAnsi="宋体" w:cs="宋体"/>
                <w:color w:val="000000"/>
                <w:sz w:val="21"/>
                <w:szCs w:val="21"/>
                <w:highlight w:val="none"/>
                <w:lang w:val="en-US" w:eastAsia="zh-CN"/>
              </w:rPr>
              <w:t xml:space="preserve">5-20</w:t>
            </w:r>
            <w:r>
              <w:rPr>
                <w:rFonts w:hint="eastAsia" w:ascii="宋体" w:hAnsi="宋体" w:eastAsia="宋体" w:cs="宋体"/>
                <w:color w:val="000000"/>
                <w:sz w:val="21"/>
                <w:szCs w:val="21"/>
                <w:highlight w:val="none"/>
              </w:rPr>
              <w:t xml:space="preserve">天清除一次。绿地杂物随见随清。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9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其它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及时清除绿地杂物。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专职人员加强巡回检查，及时发现损坏绿地、苗木的案件，不属责职范围内的应及时报告。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对行道树、单株乔木支撑或检查加固，做好防台工作。</w:t>
            </w:r>
            <w:r>
              <w:rPr>
                <w:rFonts w:hint="eastAsia" w:ascii="宋体" w:hAnsi="宋体" w:eastAsia="宋体" w:cs="宋体"/>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加强鲜花管理。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专职巡查人员和养护人员加强巡查。每周循环检查</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次。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绿地范围内如有乱开挖和损坏绿地、苗木的案件（事件），及时恢复及时报告。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及时检查行道树绑扎、立桩情况，发现松绑、铅丝嵌皮、摇桩等情况时立即整改。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鲜花摆放、种植不符合时间要求需更换（如有需要，不另计价）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专职巡查人员和养护人员加强巡查。每周循环检查</w:t>
            </w:r>
            <w:r>
              <w:rPr>
                <w:rFonts w:hint="eastAsia" w:ascii="宋体" w:hAnsi="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次。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绿地范围内如有乱开挖和损坏绿地、苗木的案件（事件），及时恢复及时报告。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及时检查行道树绑扎、立桩情况，发现松绑、铅丝嵌皮、摇桩等情况时立即整改。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鲜花摆放、种植不符合时间要求需更换（如有需要，不另计价）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40"/>
        </w:trPr>
        <w:tc>
          <w:tcPr>
            <w:tcBorders>
              <w:top w:val="single" w:color="000000" w:sz="4" w:space="0"/>
              <w:left w:val="single" w:color="000000" w:sz="4" w:space="0"/>
              <w:bottom w:val="single" w:color="000000" w:sz="4" w:space="0"/>
              <w:right w:val="single" w:color="000000" w:sz="4" w:space="0"/>
            </w:tcBorders>
            <w:tcW w:w="286" w:type="dxa"/>
            <w:vAlign w:val="center"/>
            <w:vMerge w:val="restart"/>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七月</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整形修剪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花灌木、色块地被：清理死苗，修去病虫枝、徒长枝、过密枝、枯死枝、萌芽枝、花后植物的花梗及藤蔓寄生物，保持树形优美；安全措施符合规范要求。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草坪、色块：保持整齐美观，修杂乱枝及藤蔓枯枝，做到线直面平。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修剪物及时清理。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1.每月一次乔木剥芽修剪。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2.每月一次花木剥萌蘖芽。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3.每15天至少修剪一次绿篱、板块、草坪。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1.每月一次乔木剥芽修剪。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2.每月一次花木剥萌蘖芽。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3.每</w:t>
            </w: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天至少修剪一次绿篱、板块、草坪。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pStyle w:val="825"/>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本月养护工作重点是抗旱。</w:t>
            </w:r>
            <w:r>
              <w:rPr>
                <w:rFonts w:hint="eastAsia" w:ascii="宋体" w:hAnsi="宋体" w:eastAsia="宋体" w:cs="宋体"/>
                <w:color w:val="000000"/>
                <w:sz w:val="21"/>
                <w:szCs w:val="21"/>
                <w:highlight w:val="none"/>
              </w:rPr>
            </w:r>
            <w:r/>
          </w:p>
        </w:tc>
      </w:tr>
      <w:tr>
        <w:trPr>
          <w:trHeight w:val="119"/>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防病治虫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坚持以防为主，综合防治，最大限度地控制病虫基数。　</w:t>
            </w:r>
            <w:r>
              <w:rPr>
                <w:rFonts w:hint="eastAsia" w:ascii="宋体" w:hAnsi="宋体" w:eastAsia="宋体" w:cs="宋体"/>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病虫害：主要是刺蛾、尺蠖等。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对症下药，防治及时。　　　　　　　　　　      </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需设专职技术人员巡查。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1.大叶黄杨尺蠖 7月中旬用苦烟乳油1000倍液或者灭幼脲3号2000倍液防治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2.青桐木虱、合欢木虱、网椿、叶蝉等危害进一步加重，每10天防治一次，花保、吡虫啉、啶虫脒等药剂交换使用。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3.其他同六月病虫害。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1.大叶黄杨尺蠖 7月中旬用苦烟乳油1000倍液或者灭幼脲3号2000倍液防治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2.青桐木虱、合欢木虱、网椿、叶蝉等危害进一步加重，每10天防治一次，花保、吡虫啉、啶虫脒等药剂交换使用。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3.其他同六月病虫害。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7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浇水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根据天气情况适时浇水,保持土壤充足水分。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浇水应浇透。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时间为早、晚，避开中午高温。</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养护区域连续一个月无降雨及时浇水；每次浇水浇湿土层在10cm以上。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养护区域连续一个月无降雨及时浇水；每次浇水浇湿土层在10cm以上。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杂草防除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坚持“除早、除小、除了”原则，及时连根清理。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及时清除杂草、杂物，保持绿地整洁。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人工清除，需要除草剂需上报经</w:t>
            </w:r>
            <w:r>
              <w:rPr>
                <w:rFonts w:hint="eastAsia" w:ascii="宋体" w:hAnsi="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同意后使用。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各类杂草每10—15天清除一次。绿地杂物随见随清。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各类杂草每1</w:t>
            </w:r>
            <w:r>
              <w:rPr>
                <w:rFonts w:hint="eastAsia" w:ascii="宋体" w:hAnsi="宋体" w:cs="宋体"/>
                <w:color w:val="000000"/>
                <w:sz w:val="21"/>
                <w:szCs w:val="21"/>
                <w:highlight w:val="none"/>
                <w:lang w:val="en-US" w:eastAsia="zh-CN"/>
              </w:rPr>
              <w:t xml:space="preserve">5-20</w:t>
            </w:r>
            <w:r>
              <w:rPr>
                <w:rFonts w:hint="eastAsia" w:ascii="宋体" w:hAnsi="宋体" w:eastAsia="宋体" w:cs="宋体"/>
                <w:color w:val="000000"/>
                <w:sz w:val="21"/>
                <w:szCs w:val="21"/>
                <w:highlight w:val="none"/>
              </w:rPr>
              <w:t xml:space="preserve">天清除一次。绿地杂物随见随清。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635"/>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其它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及时清除绿地杂物。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专职人员加强巡查，及时发现损坏绿地、苗木的案件，不属责职范围内的应及时报告。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对行道树、单株乔木支撑或检查加固，做好防台工作。</w:t>
            </w:r>
            <w:r>
              <w:rPr>
                <w:rFonts w:hint="eastAsia" w:ascii="宋体" w:hAnsi="宋体" w:eastAsia="宋体" w:cs="宋体"/>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加强鲜花管理。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专职巡查人员和养护人员加强巡查，每周循环检查</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次。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绿地范围内如有乱开挖和损坏绿地、苗木的案件（事件），及时恢复及时报告。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及时检查行道树绑扎、立桩情况，发现松绑、铅丝嵌皮、摇桩等情况时立即整改。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鲜花摆放、种植不符合时间要求需更换（如有需要，不另计价）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专职巡查人员和养护人员加强巡查，每周循环检查</w:t>
            </w:r>
            <w:r>
              <w:rPr>
                <w:rFonts w:hint="eastAsia" w:ascii="宋体" w:hAnsi="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次。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绿地范围内如有乱开挖和损坏绿地、苗木的案件（事件），及时恢复及时报告。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及时检查行道树绑扎、立桩情况，发现松绑、铅丝嵌皮、摇桩等情况时立即整改。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鲜花摆放、种植不符合时间要求需更换（如有需要，不另计价）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635"/>
        </w:trPr>
        <w:tc>
          <w:tcPr>
            <w:tcBorders>
              <w:top w:val="single" w:color="000000" w:sz="4" w:space="0"/>
              <w:left w:val="single" w:color="000000" w:sz="4" w:space="0"/>
              <w:bottom w:val="single" w:color="000000" w:sz="4" w:space="0"/>
              <w:right w:val="single" w:color="000000" w:sz="4" w:space="0"/>
            </w:tcBorders>
            <w:tcW w:w="286" w:type="dxa"/>
            <w:vAlign w:val="center"/>
            <w:vMerge w:val="restart"/>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八月</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整形修剪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花灌木、色块地被：清理死苗，修去病虫枝、徒长枝、过密枝、枯死枝、萌芽枝、花后植物的花梗及藤蔓寄生物，保持树形优美；安全措施符合规范要求。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草坪、色块：保持整齐美观，修杂乱枝及藤蔓枯枝，做到线直面平。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修剪物及时清理。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1.每月一次乔木剥芽修剪。                                                                            </w:t>
            </w:r>
            <w:r>
              <w:rPr>
                <w:rFonts w:hint="eastAsia" w:ascii="宋体" w:hAnsi="宋体" w:eastAsia="宋体" w:cs="宋体"/>
                <w:color w:val="000000"/>
                <w:sz w:val="21"/>
                <w:szCs w:val="21"/>
                <w:highlight w:val="none"/>
              </w:rPr>
              <w:t xml:space="preserve">2.花木剥萌蘖芽，清理 死苗、修剪病虫枝、徒长枝、过密枝、枯死枝、萌芽枝、花后的花梗以及藤蔓寄生植物，保持树形优美，每月一次。                                                                            3.绿篱、板块、草坪该月每15天至少修剪1次。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1.每月一次乔木剥芽修剪。                                                                            2.花木剥萌蘖芽，清理 死苗、修剪病虫枝、徒长枝、过密枝、枯死枝、萌芽枝、花后的花梗以及藤蔓寄生植物，保持树形优美，每月一次。                                                                            3.绿篱、板块、草坪该月每</w:t>
            </w: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天至少修剪1次。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本月养护工作重点是浇水、施服及时防治樟巢螟。</w:t>
            </w:r>
            <w:r>
              <w:rPr>
                <w:rFonts w:hint="eastAsia" w:ascii="宋体" w:hAnsi="宋体" w:eastAsia="宋体" w:cs="宋体"/>
                <w:color w:val="000000"/>
                <w:sz w:val="21"/>
                <w:szCs w:val="21"/>
                <w:highlight w:val="none"/>
              </w:rPr>
            </w:r>
            <w:r/>
          </w:p>
        </w:tc>
      </w:tr>
      <w:tr>
        <w:trPr>
          <w:trHeight w:val="117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防病治虫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坚持以防为主，综合防治，最大限度地控制病虫基数。</w:t>
            </w:r>
            <w:r>
              <w:rPr>
                <w:rFonts w:hint="eastAsia" w:ascii="宋体" w:hAnsi="宋体" w:eastAsia="宋体" w:cs="宋体"/>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病虫害：主要是刺蛾、樟巢螟等。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对症下药，防治及时。　　　　　　　　　      　</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需设专职技术人员巡查。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同七月</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同七月</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浇水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根据天气情况适时浇水,保持土壤充足水分。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浇水应浇透。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时间为早、晚，避开中午高温。</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连续一个月无降雨及时浇水；每次浇水浇湿土层在10cm以上。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连续一个月无降雨及时浇水；每次浇水浇湿土层在10cm以上。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杂草防除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坚持“除早、除小、除了”原则，及时连根清理。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及时清除杂草、杂物，保持绿地整洁。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人工清除，需要除草剂需上报经</w:t>
            </w:r>
            <w:r>
              <w:rPr>
                <w:rFonts w:hint="eastAsia" w:ascii="宋体" w:hAnsi="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同意后使用。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各类杂草每10—15天清除一次。绿地杂物随见随清。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各类杂草每1</w:t>
            </w:r>
            <w:r>
              <w:rPr>
                <w:rFonts w:hint="eastAsia" w:ascii="宋体" w:hAnsi="宋体" w:cs="宋体"/>
                <w:color w:val="000000"/>
                <w:sz w:val="21"/>
                <w:szCs w:val="21"/>
                <w:highlight w:val="none"/>
                <w:lang w:val="en-US" w:eastAsia="zh-CN"/>
              </w:rPr>
              <w:t xml:space="preserve">5-20</w:t>
            </w:r>
            <w:r>
              <w:rPr>
                <w:rFonts w:hint="eastAsia" w:ascii="宋体" w:hAnsi="宋体" w:eastAsia="宋体" w:cs="宋体"/>
                <w:color w:val="000000"/>
                <w:sz w:val="21"/>
                <w:szCs w:val="21"/>
                <w:highlight w:val="none"/>
              </w:rPr>
              <w:t xml:space="preserve">天清除一次。绿地杂物随见随清。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68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其它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及时清除绿地杂物。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专职人员加强巡查，及时发现损坏绿地、苗木的案件，不属责职范围内的应及时报告。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对行道树、单株乔木支撑或检查加固，做好防台工作。</w:t>
            </w:r>
            <w:r>
              <w:rPr>
                <w:rFonts w:hint="eastAsia" w:ascii="宋体" w:hAnsi="宋体" w:eastAsia="宋体" w:cs="宋体"/>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加强鲜花管理。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专职巡查人员和养护人员加强巡查，每周循环检查</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次。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绿地范围内如有乱开挖和损坏绿地、苗木的案件（事件），及时恢复及时报告。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及时检查行道树绑扎、立桩情况，发现松绑、铅丝嵌皮、摇桩等情况时立即整改。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鲜花摆放、种植不符合时间要求需更换（如有需要，不另计价）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专职巡查人员和养护人员加强巡查，每周循环检查</w:t>
            </w:r>
            <w:r>
              <w:rPr>
                <w:rFonts w:hint="eastAsia" w:ascii="宋体" w:hAnsi="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次。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绿地范围内如有乱开挖和损坏绿地、苗木的案件（事件），及时恢复及时报告。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及时检查行道树绑扎、立桩情况，发现松绑、铅丝嵌皮、摇桩等情况时立即整改。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鲜花摆放、种植不符合时间要求需更换（如有需要，不另计价）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650"/>
        </w:trPr>
        <w:tc>
          <w:tcPr>
            <w:tcBorders>
              <w:top w:val="single" w:color="000000" w:sz="4" w:space="0"/>
              <w:left w:val="single" w:color="000000" w:sz="4" w:space="0"/>
              <w:bottom w:val="single" w:color="000000" w:sz="4" w:space="0"/>
              <w:right w:val="single" w:color="000000" w:sz="4" w:space="0"/>
            </w:tcBorders>
            <w:tcW w:w="286" w:type="dxa"/>
            <w:vAlign w:val="center"/>
            <w:vMerge w:val="restart"/>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九月</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整形修剪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花灌木、色块地被：清理死苗，修去病虫枝、徒长枝、过密枝、枯死枝、萌芽枝、花后植物的花梗及藤蔓寄生物，保持树形优美；安全措施符合规范要求。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草坪、色块：保持整齐美观，节前全面进行一次修剪。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修剪物及时清理。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每月一次乔木剥芽修剪。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2.花灌木清理死苗，修去病虫枝、徒长枝、过密枝、枯死枝、萌芽枝、花后植物的花梗及藤蔓寄生物，保持树形优美，每月一次。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3.绿篱、色块保持整齐美观，修杂乱枝及藤蔓枯枝，做到线直面平。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4、所有区域绿篱、板块、草坪等该月根据生长情况至少修剪2次；果岭草、高羊茅草坪每次修剪留茬高度5~6厘米。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每月一次乔木剥芽修剪。                                                  </w:t>
            </w:r>
            <w:r>
              <w:rPr>
                <w:rFonts w:hint="eastAsia" w:ascii="宋体" w:hAnsi="宋体" w:eastAsia="宋体" w:cs="宋体"/>
                <w:color w:val="000000"/>
                <w:sz w:val="21"/>
                <w:szCs w:val="21"/>
                <w:highlight w:val="none"/>
              </w:rPr>
            </w:r>
            <w:r/>
          </w:p>
          <w:p>
            <w:pPr>
              <w:pStyle w:val="825"/>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2.花灌木清理死苗，修去病虫枝、徒长枝、过密枝、枯死枝、萌芽枝、花后植物的花梗及藤蔓寄生物，保持树形优美，每月一次。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3.绿篱、色块保持整齐美观，修杂乱枝及藤蔓枯枝，做到线直面平。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4、所有区域绿篱、板块、草坪等该月根据生长情况至少修剪2次；果岭草、高羊茅草坪每次修剪留茬高度5~6厘米。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pStyle w:val="825"/>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本月养护工作重点是修剪、除杂、补缺。</w:t>
            </w:r>
            <w:r>
              <w:rPr>
                <w:rFonts w:hint="eastAsia" w:ascii="宋体" w:hAnsi="宋体" w:eastAsia="宋体" w:cs="宋体"/>
                <w:color w:val="000000"/>
                <w:sz w:val="21"/>
                <w:szCs w:val="21"/>
                <w:highlight w:val="none"/>
              </w:rPr>
            </w:r>
            <w:r/>
          </w:p>
        </w:tc>
      </w:tr>
      <w:tr>
        <w:trPr>
          <w:trHeight w:val="975"/>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防病治虫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病虫害：主要是刺蛾、樟巢螟等。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对症下药，防治及时。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需设专职技术人员巡查。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1.樟、狗骨、海棠、玉兰、等枝叶上红蜡蚧、藤壶蚧或龟蜡蚧若虫增多，紫薇绒蚧，紫竹、枫香粉蚧、海桐绵蚧等均有发生，用花保100倍液或机油杀扑磷乳剂800倍喷雾。                                              2.其他同上月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1.樟、狗骨、海棠、玉兰、等枝叶上红蜡蚧、藤壶蚧或龟蜡蚧若虫增多，紫薇绒蚧，紫竹、枫香粉蚧、海桐绵蚧等均有发生，用花保100倍液或机油杀扑磷乳剂800倍喷雾。                                              2.其他同上月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浇水排涝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根据天气情况适时浇水,保持土壤充足水分。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浇水应浇透。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连续一个月无降雨及时浇水；每次浇水浇湿土层在10cm以上。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连续一个月无降雨及时浇水；每次浇水浇湿土层在10cm以上。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杂草防除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坚持“除早、除小、除了”原则，及时连根清理。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及时清除杂草、杂物，保持绿地整洁。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人工清除，需要除草剂需上报经</w:t>
            </w:r>
            <w:r>
              <w:rPr>
                <w:rFonts w:hint="eastAsia" w:ascii="宋体" w:hAnsi="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同意后使用。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各类杂草每10—15天清除一次。绿地杂物随见随清。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各类杂草每1</w:t>
            </w:r>
            <w:r>
              <w:rPr>
                <w:rFonts w:hint="eastAsia" w:ascii="宋体" w:hAnsi="宋体" w:cs="宋体"/>
                <w:color w:val="000000"/>
                <w:sz w:val="21"/>
                <w:szCs w:val="21"/>
                <w:highlight w:val="none"/>
                <w:lang w:val="en-US" w:eastAsia="zh-CN"/>
              </w:rPr>
              <w:t xml:space="preserve">5-20</w:t>
            </w:r>
            <w:r>
              <w:rPr>
                <w:rFonts w:hint="eastAsia" w:ascii="宋体" w:hAnsi="宋体" w:eastAsia="宋体" w:cs="宋体"/>
                <w:color w:val="000000"/>
                <w:sz w:val="21"/>
                <w:szCs w:val="21"/>
                <w:highlight w:val="none"/>
              </w:rPr>
              <w:t xml:space="preserve">天清除一次。绿地杂物随见随清。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鲜花管理（如有需要）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在节前更换、摆放鲜花，加强管理。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鲜花摆放、种植不符合时间要求需更换（如有需要）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鲜花摆放、种植不符合时间要求需更换（如有需要）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25"/>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其它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及时清除绿地杂物。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专职人员加强巡查，及时发现损坏绿地、苗木的案件，不属责职范围内的应及时报告。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对死树、死苗补缺。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对行道树、单株乔木支撑或检查加固，做好防台工作。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专职巡查人员和养护人员加强巡查，每周循环检查</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次。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绿地范围内如有乱开挖和损坏绿地、苗木的案件（事件），及时恢复及时报告。　</w:t>
            </w:r>
            <w:r>
              <w:rPr>
                <w:rFonts w:hint="eastAsia" w:ascii="宋体" w:hAnsi="宋体" w:eastAsia="宋体" w:cs="宋体"/>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被破坏或其他原因引起死亡的草坪在72小时内更换补植；板块、地被空缺大于0.5㎡时补种，应当将空缺处修整出不小于1×1㎡见方的空地，对土壤进行翻挖改良后补种，补种苗种类、规格应与周边统一。　                                                      </w:t>
            </w:r>
            <w:r>
              <w:rPr>
                <w:rFonts w:hint="eastAsia" w:ascii="宋体" w:hAnsi="宋体" w:eastAsia="宋体" w:cs="宋体"/>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及时检查行道树绑扎、立桩情况，发现松绑、铅丝嵌皮、摇桩等情况时立即整改。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专职巡查人员和养护人员加强巡查，每周循环检查</w:t>
            </w:r>
            <w:r>
              <w:rPr>
                <w:rFonts w:hint="eastAsia" w:ascii="宋体" w:hAnsi="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次。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绿地范围内如有乱开挖和损坏绿地、苗木的案件（事件），及时恢复及时报告。　</w:t>
            </w:r>
            <w:r>
              <w:rPr>
                <w:rFonts w:hint="eastAsia" w:ascii="宋体" w:hAnsi="宋体" w:eastAsia="宋体" w:cs="宋体"/>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被破坏或其他原因引起死亡的草坪在72小时内更换补植；板块、地被空缺大于0.5㎡时补种，应当将空缺处修整出不小于1×1㎡见方的空地，对土壤进行翻挖改良后补种，补种苗种类、规格应与周边统一。　                                                      </w:t>
            </w:r>
            <w:r>
              <w:rPr>
                <w:rFonts w:hint="eastAsia" w:ascii="宋体" w:hAnsi="宋体" w:eastAsia="宋体" w:cs="宋体"/>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及时检查行道树绑扎、立桩情况，发现松绑、铅丝嵌皮、摇桩等情况时立即整改。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286" w:type="dxa"/>
            <w:vAlign w:val="center"/>
            <w:vMerge w:val="restart"/>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十月</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整形修剪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花灌木、色块地被：清理死苗，修去病虫枝、徒长枝、过密枝、枯死枝、萌芽枝、花后植物的花梗及藤蔓寄生物，保持树形优美；安全措施符合规范要求。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草坪、色块：保持整齐美观，草坪进行年最后一次修剪。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修剪物及时清理。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1.乔木剥芽修剪。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2.花灌木清理死苗，修去病虫枝、徒长枝、过密枝、枯死枝、萌芽枝、花后植物的花梗及藤蔓寄生物，保持树形优美。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3.绿篱、色块、草坪保持整齐美观，修杂乱枝及藤蔓枯枝，至少修剪1次。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1.乔木剥芽修剪。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2.花灌木清理死苗，修去病虫枝、徒长枝、过密枝、枯死枝、萌芽枝、花后植物的花梗及藤蔓寄生物，保持树形优美。　                          </w:t>
            </w:r>
            <w:r>
              <w:rPr>
                <w:rFonts w:hint="eastAsia" w:ascii="宋体" w:hAnsi="宋体" w:eastAsia="宋体" w:cs="宋体"/>
                <w:color w:val="000000"/>
                <w:sz w:val="21"/>
                <w:szCs w:val="21"/>
                <w:highlight w:val="none"/>
              </w:rPr>
            </w:r>
            <w:r/>
          </w:p>
          <w:p>
            <w:pPr>
              <w:pStyle w:val="825"/>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3.绿篱、色块、草坪保持整齐美观，修杂乱枝及藤蔓枯枝，至少修剪1次。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pStyle w:val="825"/>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本月养护工作重点是补缺、整形修剪。</w:t>
            </w:r>
            <w:r>
              <w:rPr>
                <w:rFonts w:hint="eastAsia" w:ascii="宋体" w:hAnsi="宋体" w:eastAsia="宋体" w:cs="宋体"/>
                <w:color w:val="000000"/>
                <w:sz w:val="21"/>
                <w:szCs w:val="2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浇水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根据天气情况适时浇水。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连续一个月无降雨及时浇水；每次浇水浇湿土层在10cm以上。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连续一个月无降雨及时浇水；每次浇水浇湿土层在10cm以上。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杂草防除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坚持“除早、除小、除了”原则，及时连根清理。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及时清除杂草、杂物，保持绿地整洁。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人工清除，需要除草剂需上报经</w:t>
            </w:r>
            <w:r>
              <w:rPr>
                <w:rFonts w:hint="eastAsia" w:ascii="宋体" w:hAnsi="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同意后使用。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该月是各类杂草集中结实期，要求</w:t>
            </w:r>
            <w:r>
              <w:rPr>
                <w:rFonts w:hint="eastAsia" w:ascii="宋体" w:hAnsi="宋体" w:cs="宋体"/>
                <w:color w:val="000000"/>
                <w:sz w:val="21"/>
                <w:szCs w:val="21"/>
                <w:highlight w:val="none"/>
                <w:lang w:val="en-US" w:eastAsia="zh-CN"/>
              </w:rPr>
              <w:t xml:space="preserve">养护</w:t>
            </w:r>
            <w:r>
              <w:rPr>
                <w:rFonts w:hint="eastAsia" w:ascii="宋体" w:hAnsi="宋体" w:eastAsia="宋体" w:cs="宋体"/>
                <w:color w:val="000000"/>
                <w:sz w:val="21"/>
                <w:szCs w:val="21"/>
                <w:highlight w:val="none"/>
              </w:rPr>
              <w:t xml:space="preserve">区域各类杂草15天至少清除一次。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该月是各类杂草集中结实期，要求</w:t>
            </w:r>
            <w:r>
              <w:rPr>
                <w:rFonts w:hint="eastAsia" w:ascii="宋体" w:hAnsi="宋体" w:cs="宋体"/>
                <w:color w:val="000000"/>
                <w:sz w:val="21"/>
                <w:szCs w:val="21"/>
                <w:highlight w:val="none"/>
                <w:lang w:val="en-US" w:eastAsia="zh-CN"/>
              </w:rPr>
              <w:t xml:space="preserve">养护</w:t>
            </w:r>
            <w:r>
              <w:rPr>
                <w:rFonts w:hint="eastAsia" w:ascii="宋体" w:hAnsi="宋体" w:eastAsia="宋体" w:cs="宋体"/>
                <w:color w:val="000000"/>
                <w:sz w:val="21"/>
                <w:szCs w:val="21"/>
                <w:highlight w:val="none"/>
              </w:rPr>
              <w:t xml:space="preserve">区域各类杂草</w:t>
            </w: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天至少清除一次。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95"/>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病虫害防治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病虫害：主要是天牛等。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对症下药，防治及时。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需设专职技术人员巡查。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斜纹夜蛾、蛴螬等草坪虫害十月危害加重 危害马蹄莲、高羊茅、白三叶等，防治方法参照六月。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2.其他病虫害  蚜虫 网椿  粉虱 樟巢螟 疥虫 刺蛾 卷叶蛾等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斜纹夜蛾、蛴螬等草坪虫害十月危害加重 危害马蹄莲、高羊茅、白三叶等，防治方法参照六月。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2.其他病虫害  蚜虫 网椿  粉虱 樟巢螟 疥虫 刺蛾 卷叶蛾等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635"/>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其它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及时清除绿地杂物。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专职人员加强巡回检查，及时发现损坏绿地、苗木的案件，不属责职范围内的应及时报告。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对行道树、单株乔木支撑或检查加固，做好防台工作。</w:t>
            </w:r>
            <w:r>
              <w:rPr>
                <w:rFonts w:hint="eastAsia" w:ascii="宋体" w:hAnsi="宋体" w:eastAsia="宋体" w:cs="宋体"/>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加强鲜花管理。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专职巡查人员和养护人员加强巡查，每周循环检查一次。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绿地范围内如有乱开挖和损坏绿地、苗木的案件（事件），及时恢复及时报告。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及时检查行道树绑扎、立桩情况，发现松绑、铅丝嵌皮、摇桩等情况时立即整改。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鲜花摆放、种植不符合时间要求需更换（如有需要，不另计价）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专职巡查人员和养护人员加强巡查，每</w:t>
            </w:r>
            <w:r>
              <w:rPr>
                <w:rFonts w:hint="eastAsia" w:ascii="宋体" w:hAnsi="宋体" w:cs="宋体"/>
                <w:color w:val="000000"/>
                <w:sz w:val="21"/>
                <w:szCs w:val="21"/>
                <w:highlight w:val="none"/>
                <w:lang w:val="en-US" w:eastAsia="zh-CN"/>
              </w:rPr>
              <w:t xml:space="preserve">10天左右</w:t>
            </w:r>
            <w:r>
              <w:rPr>
                <w:rFonts w:hint="eastAsia" w:ascii="宋体" w:hAnsi="宋体" w:eastAsia="宋体" w:cs="宋体"/>
                <w:color w:val="000000"/>
                <w:sz w:val="21"/>
                <w:szCs w:val="21"/>
                <w:highlight w:val="none"/>
              </w:rPr>
              <w:t xml:space="preserve">循环检查一次。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绿地范围内如有乱开挖和损坏绿地、苗木的案件（事件），及时恢复及时报告。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及时检查行道树绑扎、立桩情况，发现松绑、铅丝嵌皮、摇桩等情况时立即整改。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鲜花摆放、种植不符合时间要求需更换（如有需要，不另计价）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85"/>
        </w:trPr>
        <w:tc>
          <w:tcPr>
            <w:tcBorders>
              <w:top w:val="single" w:color="000000" w:sz="4" w:space="0"/>
              <w:left w:val="single" w:color="000000" w:sz="4" w:space="0"/>
              <w:bottom w:val="single" w:color="000000" w:sz="4" w:space="0"/>
              <w:right w:val="single" w:color="000000" w:sz="4" w:space="0"/>
            </w:tcBorders>
            <w:tcW w:w="286" w:type="dxa"/>
            <w:vAlign w:val="center"/>
            <w:vMerge w:val="restart"/>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十一月</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整形修剪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花灌木、色块地被：清理死苗，修去病虫枝、徒长枝、过密枝、枯死枝、萌芽枝、花后植物的花梗及藤蔓寄生物，保持树形优美；安全措施符合规范要求。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草坪、色块：保持整齐美观，草坪进行年最后一次修剪。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修剪物及时清理。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行道树法桐整形修剪，按照“三股六叉十二枝”的原则，以“七去五留”的手法进行人工造型修剪；行道树香樟的修剪保持树木原有形态，以抽稀、疏枝为主，使其树型圆整，通风透光，疏密适中；黄山栾剥萌蘖芽。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花灌木的修剪应当适当区分：当年生枝条上开花的如月季、紫薇、木槿、石榴应当冬季修剪，主要以短截和疏枝为主；在二年生枝条上开花的如樱花、红叶李、梅树、桃树、迎春等应在花后修剪。在多年生枝条上开花的如紫荆、海棠等，修剪量较小，可适当摘心。</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3.绿篱、色块、草坪保持整齐美观，修杂乱枝及藤蔓枯枝</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行道树法桐整形修剪，按照“三股六叉十二枝”的原则，以“七去五留”的手法进行人工造型修剪；行道树香樟的修剪保持树木原有形态，以抽稀、疏枝为主，使其树型圆整，通风透光，疏密适中；黄山栾剥萌蘖芽。                     </w:t>
            </w:r>
            <w:r>
              <w:rPr>
                <w:rFonts w:hint="eastAsia" w:ascii="宋体" w:hAnsi="宋体" w:eastAsia="宋体" w:cs="宋体"/>
                <w:color w:val="000000"/>
                <w:sz w:val="21"/>
                <w:szCs w:val="21"/>
                <w:highlight w:val="none"/>
              </w:rPr>
            </w:r>
            <w:r/>
          </w:p>
          <w:p>
            <w:pPr>
              <w:pStyle w:val="825"/>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花灌木的修剪应当适当区分：当年生枝条上开花的如月季、紫薇、木槿、石榴应当冬季修剪，主要以短截和疏枝为主；在二年生枝条上开花的如樱花、红叶李、梅树、桃树、迎春等应在花后修剪。在多年生枝条上开花的如紫荆、海棠等，修剪量较小，可适当摘心。</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3.绿篱、色块、草坪保持整齐美观，修杂乱枝及藤蔓枯枝</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pStyle w:val="825"/>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本月养护工作重点是整形修剪、绿地除杂。</w:t>
            </w:r>
            <w:r>
              <w:rPr>
                <w:rFonts w:hint="eastAsia" w:ascii="宋体" w:hAnsi="宋体" w:eastAsia="宋体" w:cs="宋体"/>
                <w:color w:val="000000"/>
                <w:sz w:val="21"/>
                <w:szCs w:val="21"/>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浇水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根据天气情况适时浇水。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连续一个月无降雨及时浇水；每次浇水浇湿土层在10cm以上。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连续一个月无降雨及时浇水；每次浇水浇湿土层在10cm以上。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63"/>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杂草防除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坚持“除早、除小、除了”原则，及时连根清理。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及时清除杂草、杂物，保持绿地整洁。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人工清除，需要除草剂需上报经</w:t>
            </w:r>
            <w:r>
              <w:rPr>
                <w:rFonts w:hint="eastAsia" w:ascii="宋体" w:hAnsi="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同意后使用。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该月是各类杂草集中结实期，要求各类杂草15天至少清除一次。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该月是各类杂草集中结实期，要求各类杂草</w:t>
            </w: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天至少清除一次。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75"/>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其它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及时清除绿地杂物。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专职人员加强巡回检查，及时发现损坏绿地、苗木的案件，不属责职范围内的应及时报告。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对行道树、单株乔木支撑或检查加固，做好防台工作。</w:t>
            </w:r>
            <w:r>
              <w:rPr>
                <w:rFonts w:hint="eastAsia" w:ascii="宋体" w:hAnsi="宋体" w:eastAsia="宋体" w:cs="宋体"/>
                <w:color w:val="000000"/>
                <w:sz w:val="21"/>
                <w:szCs w:val="21"/>
                <w:highlight w:val="none"/>
              </w:rPr>
              <w:br w:type="textWrapping" w:clear="all"/>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加强鲜花管理。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专职巡查人员和养护人员加强巡查，每周循环检查</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次。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绿地范围内如有乱开挖和损坏绿地、苗木的案件（事件），及时恢复及时报告。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及时检查行道树绑扎、立桩情况，发现松绑、铅丝嵌皮、摇桩等情况时立即整改。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鲜花摆放、种植不符合时间要求需更换（如有需要，不另计价）。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专职巡查人员和养护人员加强巡查，每周循环检查</w:t>
            </w:r>
            <w:r>
              <w:rPr>
                <w:rFonts w:hint="eastAsia" w:ascii="宋体" w:hAnsi="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次。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绿地范围内如有乱开挖和损坏绿地、苗木的案件（事件），及时恢复及时报告。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及时检查行道树绑扎、立桩情况，发现松绑、铅丝嵌皮、摇桩等情况时立即整改。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鲜花摆放、种植不符合时间要求需更换（如有需要，不另计价）。　　</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25"/>
        </w:trPr>
        <w:tc>
          <w:tcPr>
            <w:tcBorders>
              <w:top w:val="single" w:color="000000" w:sz="4" w:space="0"/>
              <w:left w:val="single" w:color="000000" w:sz="4" w:space="0"/>
              <w:bottom w:val="single" w:color="000000" w:sz="4" w:space="0"/>
              <w:right w:val="single" w:color="000000" w:sz="4" w:space="0"/>
            </w:tcBorders>
            <w:tcW w:w="286" w:type="dxa"/>
            <w:vAlign w:val="center"/>
            <w:vMerge w:val="restart"/>
            <w:textDirection w:val="lrTb"/>
            <w:noWrap w:val="false"/>
          </w:tcPr>
          <w:p>
            <w:pPr>
              <w:pStyle w:val="825"/>
              <w:jc w:val="center"/>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十二月</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冬季修剪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树木：清理死苗，修去病虫枝、徒长枝、过密枝、枯死枝及藤蔓寄生物，保持树形优美；安全措施符合规范要求。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色块：保持整齐美观，修杂乱枝及藤蔓枯枝，做到线直面平。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修剪物及时清理。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行道树法桐整形修剪，按照“三股六叉十二枝”的原则，以“七去五留”的手法进行人工造型修剪；行道树香樟的修剪保持树木原有形态，以抽稀、疏枝为主，使其树型圆整，通风透光，疏密适中；黄山栾剥萌蘖芽。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花灌木的修剪应当适当区分：当年生枝条上开花的如月季、紫薇、木槿、石榴应当冬季修剪，主要以短截和疏枝为主；在二年生枝条上开花的如樱花、红叶李、梅树、桃树、迎春等应在花后修剪。在多年生枝条上开花的如紫荆、海棠等，修剪量较小，可适当摘心。</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3.绿篱、色块、草坪保持整齐美观，修杂乱枝及藤蔓枯枝，全区域修剪一次。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行道树法桐整形修剪，按照“三股六叉十二枝”的原则，以“七去五留”的手法进行人工造型修剪；行道树香樟的修剪保持树木原有形态，以抽稀、疏枝为主，使其树型圆整，通风透光，疏密适中；黄山栾剥萌蘖芽。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花灌木的修剪应当适当区分：当年生枝条上开花的如月季、紫薇、木槿、石榴应当冬季修剪，主要以短截和疏枝为主；在二年生枝条上开花的如樱花、红叶李、梅树、桃树、迎春等应在花后修剪。在多年生枝条上开花的如紫荆、海棠等，修剪量较小，可适当摘心。</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3.绿篱、色块、草坪保持整齐美观，修杂乱枝及藤蔓枯枝，全区域修剪一次。</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pStyle w:val="825"/>
              <w:jc w:val="center"/>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本月养护工作重点是防冬保暖、树干涂白、数据统计。</w:t>
            </w: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防冻保暖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戴帽：对易受冻害植物用双层塑料膜加稻草或其它材料防冻。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遇有大雪,对易遭雪压的植物要组织打雪。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对新栽、不耐寒树种树干基部以上缠绕草绳、塑料膜御寒。　　　                                 </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天气干燥，在晴天对植物适当浇水，保持土壤湿润。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1.均需对行道树进行抗冻处理（根基培土），并在树木的休眠期内，进行扶正，易发生冻害树木主干包扎。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2.冬季积雪达到5—6CM时保证及时组织人员进行打雪。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1.均需对行道树进行抗冻处理（根基培土），并在树木的休眠期内，进行扶正，易发生冻害树木主干包扎。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2.冬季积雪达到5—6CM时保证及时组织人员进行打雪。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涂白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单株树木在主干1.2米处以下涂石灰液（浆）加盐刷白，做到涂布均匀，上缘平整。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当月平均气温降至5℃以下，应对树木进行涂白。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涂白剂配方为生石灰：石硫合剂：水=5：2：3。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当月平均气温降至5℃以下，应对树木进行涂白。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涂白剂配方为生石灰：石硫合剂：水=5：2：3。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19"/>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补缺前准备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成活率、保存率调查，做好全面补缺准备。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绿化缺株需补种处，翻整好土地，待来年解冻时补种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绿化缺株需补种处，翻整好土地，待来年解冻时补种</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鲜花管理（如有需要）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在节前更换、摆放鲜花，加强管理。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鲜花摆放、种植不符合时间要求需更换（如有需要）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鲜花摆放、种植不符合时间要求需更换（如有需要）　</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其它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专职人员加强巡回检查，及时发现损坏绿地、苗木的案件，不属责职范围内的应及时报告。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做好冬季防火工作。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对行道树、单株乔木支撑或检查加固。　　　                                </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年度总结考评。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专职巡查人员和养护人员加强巡查，每周循环检查一次。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绿地范围内如有乱开挖和损坏绿地、苗木的案件（事件），及时恢复及时报告。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及时检查行道树绑扎、立桩情况，发现松绑、铅丝嵌皮、摇桩等情况时立即整改。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养护单位做好一年养护总结，上报我单位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专职巡查人员和养护人员加强巡查，每</w:t>
            </w:r>
            <w:r>
              <w:rPr>
                <w:rFonts w:hint="eastAsia" w:ascii="宋体" w:hAnsi="宋体" w:cs="宋体"/>
                <w:color w:val="000000"/>
                <w:sz w:val="21"/>
                <w:szCs w:val="21"/>
                <w:highlight w:val="none"/>
                <w:lang w:val="en-US" w:eastAsia="zh-CN"/>
              </w:rPr>
              <w:t xml:space="preserve">10天左右</w:t>
            </w:r>
            <w:r>
              <w:rPr>
                <w:rFonts w:hint="eastAsia" w:ascii="宋体" w:hAnsi="宋体" w:eastAsia="宋体" w:cs="宋体"/>
                <w:color w:val="000000"/>
                <w:sz w:val="21"/>
                <w:szCs w:val="21"/>
                <w:highlight w:val="none"/>
              </w:rPr>
              <w:t xml:space="preserve">循环检查一次。                                          </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绿地范围内如有乱开挖和损坏绿地、苗木的案件（事件），及时恢复及时报告。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及时检查行道树绑扎、立桩情况，发现松绑、铅丝嵌皮、摇桩等情况时立即整改。　　                                                     </w:t>
            </w:r>
            <w:r>
              <w:rPr>
                <w:rFonts w:hint="eastAsia" w:ascii="宋体" w:hAnsi="宋体" w:eastAsia="宋体" w:cs="宋体"/>
                <w:color w:val="000000"/>
                <w:sz w:val="21"/>
                <w:szCs w:val="21"/>
                <w:highlight w:val="none"/>
              </w:rPr>
            </w:r>
            <w:r/>
          </w:p>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养护单位做好一年养护总结，上报我单位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pStyle w:val="825"/>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25"/>
        <w:jc w:val="both"/>
        <w:keepLines w:val="0"/>
        <w:keepNext w:val="0"/>
        <w:widowControl/>
        <w:rPr>
          <w:b/>
          <w:sz w:val="36"/>
          <w:szCs w:val="36"/>
          <w:highlight w:val="none"/>
        </w:rPr>
        <w:sectPr>
          <w:headerReference w:type="default" r:id="rId13"/>
          <w:footerReference w:type="default" r:id="rId20"/>
          <w:footnotePr/>
          <w:endnotePr/>
          <w:type w:val="nextPage"/>
          <w:pgSz w:w="11906" w:h="16838" w:orient="portrait"/>
          <w:pgMar w:top="1440" w:right="1800" w:bottom="1440" w:left="1800" w:header="851" w:footer="992" w:gutter="0"/>
          <w:cols w:num="1" w:sep="0" w:space="1701" w:equalWidth="1"/>
          <w:docGrid w:linePitch="360"/>
        </w:sectPr>
        <w:suppressLineNumbers w:val="0"/>
      </w:pPr>
      <w:r>
        <w:rPr>
          <w:b/>
          <w:sz w:val="36"/>
          <w:szCs w:val="36"/>
          <w:highlight w:val="none"/>
        </w:rPr>
      </w:r>
      <w:r/>
    </w:p>
    <w:p>
      <w:pPr>
        <w:pStyle w:val="825"/>
        <w:jc w:val="center"/>
        <w:spacing w:line="360" w:lineRule="auto"/>
        <w:rPr>
          <w:b/>
          <w:sz w:val="36"/>
          <w:szCs w:val="36"/>
          <w:highlight w:val="none"/>
        </w:rPr>
        <w:outlineLvl w:val="0"/>
      </w:pPr>
      <w:r/>
      <w:bookmarkStart w:id="807" w:name="_Toc99301425"/>
      <w:r>
        <w:rPr>
          <w:b/>
          <w:sz w:val="36"/>
          <w:szCs w:val="36"/>
          <w:highlight w:val="none"/>
        </w:rPr>
        <w:t xml:space="preserve">第六章   拟签订的合同文本</w:t>
      </w:r>
      <w:bookmarkEnd w:id="807"/>
      <w:r>
        <w:rPr>
          <w:b/>
          <w:sz w:val="36"/>
          <w:szCs w:val="36"/>
          <w:highlight w:val="none"/>
        </w:rPr>
      </w:r>
      <w:r/>
    </w:p>
    <w:p>
      <w:pPr>
        <w:pStyle w:val="825"/>
        <w:spacing w:line="360" w:lineRule="auto"/>
        <w:tabs>
          <w:tab w:val="left" w:pos="900" w:leader="none"/>
          <w:tab w:val="left" w:pos="1080" w:leader="none"/>
        </w:tabs>
        <w:rPr>
          <w:sz w:val="18"/>
          <w:szCs w:val="18"/>
          <w:highlight w:val="none"/>
        </w:rPr>
      </w:pPr>
      <w:r>
        <w:rPr>
          <w:sz w:val="18"/>
          <w:szCs w:val="18"/>
          <w:highlight w:val="none"/>
        </w:rPr>
      </w:r>
      <w:r/>
    </w:p>
    <w:p>
      <w:pPr>
        <w:pStyle w:val="825"/>
        <w:jc w:val="center"/>
        <w:spacing w:line="500" w:lineRule="exact"/>
        <w:tabs>
          <w:tab w:val="left" w:pos="0" w:leader="none"/>
          <w:tab w:val="left" w:pos="993" w:leader="none"/>
          <w:tab w:val="left" w:pos="1134" w:leader="none"/>
        </w:tabs>
        <w:rPr>
          <w:rFonts w:hint="eastAsia" w:ascii="宋体" w:hAnsi="宋体"/>
          <w:b/>
          <w:sz w:val="24"/>
          <w:highlight w:val="none"/>
        </w:rPr>
      </w:pPr>
      <w:r>
        <w:rPr>
          <w:rFonts w:hint="eastAsia" w:ascii="宋体" w:hAnsi="宋体"/>
          <w:b/>
          <w:sz w:val="24"/>
          <w:highlight w:val="none"/>
        </w:rPr>
        <w:t xml:space="preserve">（以</w:t>
      </w:r>
      <w:r>
        <w:rPr>
          <w:rFonts w:hint="eastAsia" w:ascii="宋体" w:hAnsi="宋体"/>
          <w:b/>
          <w:sz w:val="24"/>
          <w:highlight w:val="none"/>
          <w:lang w:val="en-US" w:eastAsia="zh-CN"/>
        </w:rPr>
        <w:t xml:space="preserve">采购</w:t>
      </w:r>
      <w:r>
        <w:rPr>
          <w:rFonts w:hint="eastAsia" w:ascii="宋体" w:hAnsi="宋体"/>
          <w:b/>
          <w:sz w:val="24"/>
          <w:highlight w:val="none"/>
        </w:rPr>
        <w:t xml:space="preserve">人提供的合同为准）</w:t>
      </w:r>
      <w:bookmarkStart w:id="808" w:name="_Hlk75944811"/>
      <w:r>
        <w:rPr>
          <w:rFonts w:hint="eastAsia" w:ascii="宋体" w:hAnsi="宋体"/>
          <w:b/>
          <w:sz w:val="24"/>
          <w:highlight w:val="none"/>
        </w:rPr>
      </w:r>
      <w:r/>
    </w:p>
    <w:p>
      <w:pPr>
        <w:pStyle w:val="825"/>
        <w:ind w:firstLine="480"/>
        <w:keepLines w:val="0"/>
        <w:keepNext w:val="0"/>
        <w:pageBreakBefore w:val="0"/>
        <w:spacing w:line="360" w:lineRule="auto"/>
        <w:widowControl w:val="off"/>
        <w:tabs>
          <w:tab w:val="left" w:pos="2307" w:leader="none"/>
        </w:tabs>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pStyle w:val="864"/>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b/>
          <w:bCs/>
          <w:spacing w:val="2"/>
          <w:sz w:val="24"/>
          <w:szCs w:val="24"/>
          <w:highlight w:val="none"/>
          <w:lang w:val="zh-CN" w:eastAsia="zh-CN" w:bidi="ar-SA"/>
        </w:rPr>
        <w:t xml:space="preserve">采购人（以下称甲</w:t>
      </w:r>
      <w:r>
        <w:rPr>
          <w:rFonts w:hint="eastAsia" w:ascii="宋体" w:hAnsi="宋体" w:eastAsia="宋体" w:cs="宋体"/>
          <w:b/>
          <w:bCs/>
          <w:spacing w:val="2"/>
          <w:sz w:val="24"/>
          <w:szCs w:val="24"/>
          <w:highlight w:val="none"/>
          <w:lang w:val="en-US" w:eastAsia="zh-CN" w:bidi="ar-SA"/>
        </w:rPr>
        <w:t xml:space="preserve">方）:</w:t>
      </w:r>
      <w:r>
        <w:rPr>
          <w:rFonts w:hint="eastAsia" w:ascii="宋体" w:hAnsi="宋体" w:eastAsia="宋体" w:cs="宋体"/>
          <w:spacing w:val="2"/>
          <w:sz w:val="24"/>
          <w:szCs w:val="24"/>
          <w:highlight w:val="none"/>
          <w:lang w:val="en-US" w:eastAsia="zh-CN" w:bidi="ar-SA"/>
        </w:rPr>
        <w:t xml:space="preserve">                       合同编号：</w:t>
      </w:r>
      <w:r>
        <w:rPr>
          <w:rFonts w:hint="eastAsia" w:ascii="宋体" w:hAnsi="宋体" w:eastAsia="宋体" w:cs="宋体"/>
          <w:spacing w:val="2"/>
          <w:sz w:val="24"/>
          <w:szCs w:val="24"/>
          <w:highlight w:val="none"/>
          <w:lang w:val="en-US" w:eastAsia="zh-CN" w:bidi="ar-SA"/>
        </w:rPr>
      </w:r>
      <w:r/>
    </w:p>
    <w:p>
      <w:pPr>
        <w:pStyle w:val="864"/>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供应商（</w:t>
      </w:r>
      <w:r>
        <w:rPr>
          <w:rFonts w:hint="eastAsia" w:ascii="宋体" w:hAnsi="宋体" w:eastAsia="宋体" w:cs="宋体"/>
          <w:b/>
          <w:bCs/>
          <w:spacing w:val="2"/>
          <w:sz w:val="24"/>
          <w:szCs w:val="24"/>
          <w:highlight w:val="none"/>
          <w:lang w:val="zh-CN" w:eastAsia="zh-CN" w:bidi="ar-SA"/>
        </w:rPr>
        <w:t xml:space="preserve">以下称</w:t>
      </w:r>
      <w:r>
        <w:rPr>
          <w:rFonts w:hint="eastAsia" w:ascii="宋体" w:hAnsi="宋体" w:eastAsia="宋体" w:cs="宋体"/>
          <w:b/>
          <w:bCs/>
          <w:spacing w:val="2"/>
          <w:sz w:val="24"/>
          <w:szCs w:val="24"/>
          <w:highlight w:val="none"/>
          <w:lang w:val="en-US" w:eastAsia="zh-CN" w:bidi="ar-SA"/>
        </w:rPr>
        <w:t xml:space="preserve">乙方）: </w:t>
      </w:r>
      <w:r>
        <w:rPr>
          <w:rFonts w:hint="eastAsia" w:ascii="宋体" w:hAnsi="宋体" w:eastAsia="宋体" w:cs="宋体"/>
          <w:spacing w:val="2"/>
          <w:sz w:val="24"/>
          <w:szCs w:val="24"/>
          <w:highlight w:val="none"/>
          <w:lang w:val="en-US" w:eastAsia="zh-CN" w:bidi="ar-SA"/>
        </w:rPr>
        <w:t xml:space="preserve">                      签订地点：</w:t>
      </w:r>
      <w:r>
        <w:rPr>
          <w:rFonts w:hint="eastAsia" w:ascii="宋体" w:hAnsi="宋体" w:eastAsia="宋体" w:cs="宋体"/>
          <w:spacing w:val="2"/>
          <w:sz w:val="24"/>
          <w:szCs w:val="24"/>
          <w:highlight w:val="none"/>
          <w:lang w:val="en-US" w:eastAsia="zh-CN" w:bidi="ar-SA"/>
        </w:rPr>
      </w:r>
      <w:r/>
    </w:p>
    <w:p>
      <w:pPr>
        <w:pStyle w:val="839"/>
        <w:ind w:left="0" w:firstLine="0"/>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合同时间:     年   月   日</w:t>
      </w:r>
      <w:r>
        <w:rPr>
          <w:rFonts w:hint="eastAsia" w:ascii="宋体" w:hAnsi="宋体" w:eastAsia="宋体" w:cs="宋体"/>
          <w:spacing w:val="2"/>
          <w:sz w:val="24"/>
          <w:szCs w:val="24"/>
          <w:highlight w:val="none"/>
          <w:lang w:val="en-US" w:eastAsia="zh-CN" w:bidi="ar-SA"/>
        </w:rPr>
      </w:r>
      <w:r/>
    </w:p>
    <w:p>
      <w:pPr>
        <w:pStyle w:val="864"/>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甲乙双方依据《中华人民共和国民法典》以及有关法律、法规的规定，经协商一致，订立本合同，以便共同遵守。</w:t>
      </w:r>
      <w:r>
        <w:rPr>
          <w:rFonts w:hint="eastAsia" w:ascii="宋体" w:hAnsi="宋体" w:eastAsia="宋体" w:cs="宋体"/>
          <w:spacing w:val="2"/>
          <w:sz w:val="24"/>
          <w:szCs w:val="24"/>
          <w:highlight w:val="none"/>
          <w:lang w:val="en-US" w:eastAsia="zh-CN" w:bidi="ar-SA"/>
        </w:rPr>
      </w:r>
      <w:r/>
    </w:p>
    <w:p>
      <w:pPr>
        <w:pStyle w:val="864"/>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第一条 服务内容</w:t>
      </w:r>
      <w:r>
        <w:rPr>
          <w:rFonts w:hint="eastAsia" w:ascii="宋体" w:hAnsi="宋体" w:eastAsia="宋体" w:cs="宋体"/>
          <w:b/>
          <w:bCs/>
          <w:spacing w:val="2"/>
          <w:sz w:val="24"/>
          <w:szCs w:val="24"/>
          <w:highlight w:val="none"/>
          <w:lang w:val="en-US" w:eastAsia="zh-CN" w:bidi="ar-SA"/>
        </w:rPr>
      </w:r>
      <w:r/>
    </w:p>
    <w:p>
      <w:pPr>
        <w:pStyle w:val="825"/>
        <w:ind w:firstLine="492"/>
        <w:jc w:val="left"/>
        <w:keepLines w:val="0"/>
        <w:keepNext w:val="0"/>
        <w:pageBreakBefore w:val="0"/>
        <w:spacing w:line="360" w:lineRule="auto"/>
        <w:widowControl/>
        <w:rPr>
          <w:rFonts w:hint="eastAsia" w:ascii="宋体" w:hAnsi="宋体" w:eastAsia="宋体" w:cs="宋体"/>
          <w:spacing w:val="2"/>
          <w:sz w:val="24"/>
          <w:szCs w:val="24"/>
          <w:highlight w:val="none"/>
          <w:lang w:val="zh-CN" w:eastAsia="zh-CN" w:bidi="ar-SA"/>
        </w:rPr>
      </w:pPr>
      <w:r>
        <w:rPr>
          <w:rFonts w:hint="eastAsia" w:ascii="宋体" w:hAnsi="宋体" w:eastAsia="宋体" w:cs="宋体"/>
          <w:spacing w:val="2"/>
          <w:sz w:val="24"/>
          <w:szCs w:val="24"/>
          <w:highlight w:val="none"/>
          <w:lang w:val="zh-CN" w:eastAsia="zh-CN" w:bidi="ar-SA"/>
        </w:rPr>
        <w:t xml:space="preserve">乙方根据甲方需求提供服务，</w:t>
      </w:r>
      <w:r>
        <w:rPr>
          <w:rFonts w:hint="eastAsia" w:ascii="宋体" w:hAnsi="宋体" w:cs="宋体"/>
          <w:spacing w:val="2"/>
          <w:sz w:val="24"/>
          <w:szCs w:val="24"/>
          <w:highlight w:val="none"/>
          <w:lang w:val="en-US" w:eastAsia="zh-CN" w:bidi="ar-SA"/>
        </w:rPr>
        <w:t xml:space="preserve">包括但不限于</w:t>
      </w:r>
      <w:r>
        <w:rPr>
          <w:rFonts w:hint="eastAsia" w:ascii="宋体" w:hAnsi="宋体" w:eastAsia="宋体" w:cs="宋体"/>
          <w:spacing w:val="2"/>
          <w:sz w:val="24"/>
          <w:szCs w:val="24"/>
          <w:highlight w:val="none"/>
          <w:lang w:val="zh-CN" w:eastAsia="zh-CN" w:bidi="ar-SA"/>
        </w:rPr>
        <w:t xml:space="preserve">根据合同</w:t>
      </w:r>
      <w:r>
        <w:rPr>
          <w:rFonts w:hint="eastAsia" w:ascii="宋体" w:hAnsi="宋体" w:cs="宋体"/>
          <w:spacing w:val="2"/>
          <w:sz w:val="24"/>
          <w:szCs w:val="24"/>
          <w:highlight w:val="none"/>
          <w:lang w:val="en-US" w:eastAsia="zh-CN" w:bidi="ar-SA"/>
        </w:rPr>
        <w:t xml:space="preserve">及招标文件</w:t>
      </w:r>
      <w:r>
        <w:rPr>
          <w:rFonts w:hint="eastAsia" w:ascii="宋体" w:hAnsi="宋体" w:eastAsia="宋体" w:cs="宋体"/>
          <w:spacing w:val="2"/>
          <w:sz w:val="24"/>
          <w:szCs w:val="24"/>
          <w:highlight w:val="none"/>
          <w:lang w:val="zh-CN" w:eastAsia="zh-CN" w:bidi="ar-SA"/>
        </w:rPr>
        <w:t xml:space="preserve">规定乙方须承担与服务有关的所有</w:t>
      </w:r>
      <w:r>
        <w:rPr>
          <w:rFonts w:hint="eastAsia" w:ascii="宋体" w:hAnsi="宋体" w:cs="宋体"/>
          <w:spacing w:val="2"/>
          <w:sz w:val="24"/>
          <w:szCs w:val="24"/>
          <w:highlight w:val="none"/>
          <w:lang w:val="en-US" w:eastAsia="zh-CN" w:bidi="ar-SA"/>
        </w:rPr>
        <w:t xml:space="preserve">的服务及相关</w:t>
      </w:r>
      <w:r>
        <w:rPr>
          <w:rFonts w:hint="eastAsia" w:ascii="宋体" w:hAnsi="宋体" w:eastAsia="宋体" w:cs="宋体"/>
          <w:spacing w:val="2"/>
          <w:sz w:val="24"/>
          <w:szCs w:val="24"/>
          <w:highlight w:val="none"/>
          <w:lang w:val="zh-CN" w:eastAsia="zh-CN" w:bidi="ar-SA"/>
        </w:rPr>
        <w:t xml:space="preserve">辅助服务</w:t>
      </w:r>
      <w:r>
        <w:rPr>
          <w:rFonts w:hint="eastAsia" w:ascii="宋体" w:hAnsi="宋体" w:eastAsia="宋体" w:cs="宋体"/>
          <w:spacing w:val="2"/>
          <w:sz w:val="24"/>
          <w:szCs w:val="24"/>
          <w:highlight w:val="none"/>
          <w:lang w:val="en-US" w:eastAsia="zh-CN" w:bidi="ar-SA"/>
        </w:rPr>
        <w:t xml:space="preserve">。</w:t>
      </w:r>
      <w:r>
        <w:rPr>
          <w:rFonts w:hint="eastAsia" w:ascii="宋体" w:hAnsi="宋体" w:eastAsia="宋体" w:cs="宋体"/>
          <w:spacing w:val="2"/>
          <w:sz w:val="24"/>
          <w:szCs w:val="24"/>
          <w:highlight w:val="none"/>
          <w:lang w:val="zh-CN" w:eastAsia="zh-CN" w:bidi="ar-SA"/>
        </w:rPr>
      </w:r>
      <w:r/>
    </w:p>
    <w:p>
      <w:pPr>
        <w:pStyle w:val="864"/>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第二条 合同价格</w:t>
      </w:r>
      <w:r>
        <w:rPr>
          <w:rFonts w:hint="eastAsia" w:ascii="宋体" w:hAnsi="宋体" w:eastAsia="宋体" w:cs="宋体"/>
          <w:b/>
          <w:bCs/>
          <w:spacing w:val="2"/>
          <w:sz w:val="24"/>
          <w:szCs w:val="24"/>
          <w:highlight w:val="none"/>
          <w:lang w:val="en-US" w:eastAsia="zh-CN" w:bidi="ar-SA"/>
        </w:rPr>
      </w:r>
      <w:r/>
    </w:p>
    <w:p>
      <w:pPr>
        <w:pStyle w:val="864"/>
        <w:ind w:firstLine="492"/>
        <w:jc w:val="left"/>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本项目签约合同价为（人民币，下同）：</w:t>
      </w:r>
      <w:r>
        <w:rPr>
          <w:rFonts w:hint="eastAsia" w:ascii="宋体" w:hAnsi="宋体" w:eastAsia="宋体" w:cs="宋体"/>
          <w:spacing w:val="2"/>
          <w:sz w:val="24"/>
          <w:szCs w:val="24"/>
          <w:highlight w:val="none"/>
          <w:u w:val="single"/>
          <w:lang w:val="en-US" w:eastAsia="zh-CN" w:bidi="ar-SA"/>
        </w:rPr>
        <w:t xml:space="preserve">（大写）         元（小写：       ）</w:t>
      </w:r>
      <w:r>
        <w:rPr>
          <w:rFonts w:hint="eastAsia" w:ascii="宋体" w:hAnsi="宋体" w:eastAsia="宋体" w:cs="宋体"/>
          <w:spacing w:val="2"/>
          <w:sz w:val="24"/>
          <w:szCs w:val="24"/>
          <w:highlight w:val="none"/>
          <w:lang w:val="en-US" w:eastAsia="zh-CN" w:bidi="ar-SA"/>
        </w:rPr>
        <w:t xml:space="preserve">。</w:t>
      </w:r>
      <w:r>
        <w:rPr>
          <w:rFonts w:hint="eastAsia" w:ascii="宋体" w:hAnsi="宋体" w:eastAsia="宋体" w:cs="宋体"/>
          <w:spacing w:val="2"/>
          <w:sz w:val="24"/>
          <w:szCs w:val="24"/>
          <w:highlight w:val="none"/>
          <w:lang w:val="en-US" w:eastAsia="zh-CN" w:bidi="ar-SA"/>
        </w:rPr>
      </w:r>
      <w:r/>
    </w:p>
    <w:p>
      <w:pPr>
        <w:pStyle w:val="864"/>
        <w:ind w:firstLine="492"/>
        <w:jc w:val="left"/>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本项目报价为全费用固定单价合同，合同价格应包括但不限于招标文件所确定的招标范围相应服务所需的人工、材料、肥料费、各种药剂费、办公场所及设施、管理费、培训费、利润、各种税费、委外、风险费用等一切费用等全部实施内容的费用。除不可抗力因素外，在招标文件、方案规定的项目和内容范围内实行全费用单价包干，招标文件及方案规定的实施项目均含在乙方的报价中。实施量必须经发包人及监理单位签证确定，同时发包人同意增加、减少、变更的项目，其价格应予以相应调整 。</w:t>
      </w:r>
      <w:r>
        <w:rPr>
          <w:rFonts w:hint="eastAsia" w:ascii="宋体" w:hAnsi="宋体" w:eastAsia="宋体" w:cs="宋体"/>
          <w:spacing w:val="2"/>
          <w:sz w:val="24"/>
          <w:szCs w:val="24"/>
          <w:highlight w:val="none"/>
          <w:lang w:val="en-US" w:eastAsia="zh-CN" w:bidi="ar-SA"/>
        </w:rPr>
      </w:r>
      <w:r/>
    </w:p>
    <w:p>
      <w:pPr>
        <w:pStyle w:val="864"/>
        <w:ind w:firstLine="490"/>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第三条 合同履行期限</w:t>
      </w:r>
      <w:r>
        <w:rPr>
          <w:rFonts w:hint="eastAsia" w:ascii="宋体" w:hAnsi="宋体" w:eastAsia="宋体" w:cs="宋体"/>
          <w:b/>
          <w:bCs/>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本项目服务期限为合同签订后</w:t>
      </w:r>
      <w:r>
        <w:rPr>
          <w:rFonts w:hint="eastAsia" w:ascii="宋体" w:hAnsi="宋体" w:cs="宋体"/>
          <w:spacing w:val="2"/>
          <w:sz w:val="24"/>
          <w:szCs w:val="24"/>
          <w:highlight w:val="none"/>
          <w:lang w:val="en-US" w:eastAsia="zh-CN" w:bidi="ar-SA"/>
        </w:rPr>
        <w:t xml:space="preserve">壹年</w:t>
      </w:r>
      <w:r>
        <w:rPr>
          <w:rFonts w:hint="eastAsia" w:ascii="宋体" w:hAnsi="宋体" w:eastAsia="宋体" w:cs="宋体"/>
          <w:spacing w:val="2"/>
          <w:sz w:val="24"/>
          <w:szCs w:val="24"/>
          <w:highlight w:val="none"/>
          <w:lang w:val="en-US" w:eastAsia="zh-CN" w:bidi="ar-SA"/>
        </w:rPr>
        <w:t xml:space="preserve">完成</w:t>
      </w:r>
      <w:r>
        <w:rPr>
          <w:rFonts w:hint="eastAsia" w:ascii="宋体" w:hAnsi="宋体" w:cs="宋体"/>
          <w:spacing w:val="2"/>
          <w:sz w:val="24"/>
          <w:szCs w:val="24"/>
          <w:highlight w:val="none"/>
          <w:lang w:val="en-US" w:eastAsia="zh-CN" w:bidi="ar-SA"/>
        </w:rPr>
        <w:t xml:space="preserve">，自   年   月   日至   年   月   日。</w:t>
      </w:r>
      <w:r>
        <w:rPr>
          <w:rFonts w:hint="eastAsia" w:ascii="宋体" w:hAnsi="宋体" w:eastAsia="宋体" w:cs="宋体"/>
          <w:spacing w:val="2"/>
          <w:sz w:val="24"/>
          <w:szCs w:val="24"/>
          <w:highlight w:val="none"/>
          <w:lang w:val="en-US" w:eastAsia="zh-CN" w:bidi="ar-SA"/>
        </w:rPr>
      </w:r>
      <w:r/>
    </w:p>
    <w:p>
      <w:pPr>
        <w:pStyle w:val="864"/>
        <w:ind w:firstLine="490"/>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第四条 组成本合同的有关文件</w:t>
      </w:r>
      <w:r>
        <w:rPr>
          <w:rFonts w:hint="eastAsia" w:ascii="宋体" w:hAnsi="宋体" w:eastAsia="宋体" w:cs="宋体"/>
          <w:b/>
          <w:bCs/>
          <w:spacing w:val="2"/>
          <w:sz w:val="24"/>
          <w:szCs w:val="24"/>
          <w:highlight w:val="none"/>
          <w:lang w:val="en-US" w:eastAsia="zh-CN" w:bidi="ar-SA"/>
        </w:rPr>
      </w:r>
      <w:r/>
    </w:p>
    <w:p>
      <w:pPr>
        <w:pStyle w:val="864"/>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下列与本次采购活动有关的文件及有关附件是本合同不可分割的组成部分，与本合同具有同等法律效力，这些文件包括但不限于：</w:t>
      </w:r>
      <w:r>
        <w:rPr>
          <w:rFonts w:hint="eastAsia" w:ascii="宋体" w:hAnsi="宋体" w:eastAsia="宋体" w:cs="宋体"/>
          <w:spacing w:val="2"/>
          <w:sz w:val="24"/>
          <w:szCs w:val="24"/>
          <w:highlight w:val="none"/>
          <w:lang w:val="en-US" w:eastAsia="zh-CN" w:bidi="ar-SA"/>
        </w:rPr>
      </w:r>
      <w:r/>
    </w:p>
    <w:p>
      <w:pPr>
        <w:pStyle w:val="864"/>
        <w:numPr>
          <w:ilvl w:val="0"/>
          <w:numId w:val="15"/>
        </w:numPr>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招标文件（编号：</w:t>
      </w:r>
      <w:r>
        <w:rPr>
          <w:rFonts w:hint="eastAsia" w:ascii="宋体" w:hAnsi="宋体" w:eastAsia="宋体" w:cs="宋体"/>
          <w:spacing w:val="2"/>
          <w:sz w:val="24"/>
          <w:szCs w:val="24"/>
          <w:highlight w:val="none"/>
          <w:u w:val="single"/>
          <w:lang w:val="en-US" w:eastAsia="zh-CN" w:bidi="ar-SA"/>
        </w:rPr>
        <w:t xml:space="preserve">       </w:t>
      </w:r>
      <w:r>
        <w:rPr>
          <w:rFonts w:hint="eastAsia" w:ascii="宋体" w:hAnsi="宋体" w:eastAsia="宋体" w:cs="宋体"/>
          <w:spacing w:val="2"/>
          <w:sz w:val="24"/>
          <w:szCs w:val="24"/>
          <w:highlight w:val="none"/>
          <w:lang w:val="en-US" w:eastAsia="zh-CN" w:bidi="ar-SA"/>
        </w:rPr>
        <w:t xml:space="preserve">）          </w:t>
      </w:r>
      <w:r>
        <w:rPr>
          <w:rFonts w:hint="eastAsia" w:ascii="宋体" w:hAnsi="宋体" w:eastAsia="宋体" w:cs="宋体"/>
          <w:spacing w:val="2"/>
          <w:sz w:val="24"/>
          <w:szCs w:val="24"/>
          <w:highlight w:val="none"/>
          <w:lang w:val="en-US" w:eastAsia="zh-CN" w:bidi="ar-SA"/>
        </w:rPr>
      </w:r>
      <w:r/>
    </w:p>
    <w:p>
      <w:pPr>
        <w:pStyle w:val="864"/>
        <w:numPr>
          <w:ilvl w:val="0"/>
          <w:numId w:val="0"/>
        </w:numPr>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（2）乙方提供的响应文件； </w:t>
      </w:r>
      <w:r>
        <w:rPr>
          <w:rFonts w:hint="eastAsia" w:ascii="宋体" w:hAnsi="宋体" w:eastAsia="宋体" w:cs="宋体"/>
          <w:spacing w:val="2"/>
          <w:sz w:val="24"/>
          <w:szCs w:val="24"/>
          <w:highlight w:val="none"/>
          <w:lang w:val="en-US" w:eastAsia="zh-CN" w:bidi="ar-SA"/>
        </w:rPr>
      </w:r>
      <w:r/>
    </w:p>
    <w:p>
      <w:pPr>
        <w:pStyle w:val="864"/>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（3）成交通知书；                         </w:t>
      </w:r>
      <w:r>
        <w:rPr>
          <w:rFonts w:hint="eastAsia" w:ascii="宋体" w:hAnsi="宋体" w:eastAsia="宋体" w:cs="宋体"/>
          <w:spacing w:val="2"/>
          <w:sz w:val="24"/>
          <w:szCs w:val="24"/>
          <w:highlight w:val="none"/>
          <w:lang w:val="en-US" w:eastAsia="zh-CN" w:bidi="ar-SA"/>
        </w:rPr>
      </w:r>
      <w:r/>
    </w:p>
    <w:p>
      <w:pPr>
        <w:pStyle w:val="864"/>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（4）甲乙双方商定的其他文件等。</w:t>
      </w:r>
      <w:r>
        <w:rPr>
          <w:rFonts w:hint="eastAsia" w:ascii="宋体" w:hAnsi="宋体" w:eastAsia="宋体" w:cs="宋体"/>
          <w:spacing w:val="2"/>
          <w:sz w:val="24"/>
          <w:szCs w:val="24"/>
          <w:highlight w:val="none"/>
          <w:lang w:val="en-US" w:eastAsia="zh-CN" w:bidi="ar-SA"/>
        </w:rPr>
      </w:r>
      <w:r/>
    </w:p>
    <w:p>
      <w:pPr>
        <w:pStyle w:val="825"/>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第五条 甲方权利和义务</w:t>
      </w:r>
      <w:r>
        <w:rPr>
          <w:rFonts w:hint="eastAsia" w:ascii="宋体" w:hAnsi="宋体" w:eastAsia="宋体" w:cs="宋体"/>
          <w:b/>
          <w:bCs/>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1.根据甲方绿化养护要求，对乙方提供的服务及履行本合同情况实行验收考核。</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2.因突发事件及重大活动，甲方需调动乙方人员、设备时，乙方应服从安排予以配合，但因此发生的费用由甲方承担（该费用凭甲方签证由书面核定后结算支付）。</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3.甲方有义务在适当的范围内公开考核结果；</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4.在项目实施过程中，乙方遇自身无法解决的问题，甲方应积极协调各职能部门予以协助；</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5.服务期满，组织对乙方工作进行验收；</w:t>
      </w:r>
      <w:r>
        <w:rPr>
          <w:rFonts w:hint="eastAsia" w:ascii="宋体" w:hAnsi="宋体" w:eastAsia="宋体" w:cs="宋体"/>
          <w:spacing w:val="2"/>
          <w:sz w:val="24"/>
          <w:szCs w:val="24"/>
          <w:highlight w:val="none"/>
          <w:lang w:val="en-US" w:eastAsia="zh-CN" w:bidi="ar-SA"/>
        </w:rPr>
      </w:r>
      <w:r/>
    </w:p>
    <w:p>
      <w:pPr>
        <w:pStyle w:val="825"/>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第六条 乙方权利和义务</w:t>
      </w:r>
      <w:r>
        <w:rPr>
          <w:rFonts w:hint="eastAsia" w:ascii="宋体" w:hAnsi="宋体" w:eastAsia="宋体" w:cs="宋体"/>
          <w:b/>
          <w:bCs/>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1、根据养护技术规范、绿化养护质量标准和有关要求，积极主动保质保量地完成绿化养护工作。质量达到甲方要求，植物保存率100%，设施完好率100%，景观效果良好。</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2、接受并主动配合甲方及行业管理部门的检查。</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3、因乙方养护原因造成的植物死亡、设施损坏应由乙方负责及时补植和修复，或照价赔偿。</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4、乙方应做好详细的养护台账和养护日志，建立养护档案，并在甲方现场考核时提供备查。</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5、乙方必须重视安全生产，确保不出安全责任事故。养护期间，由养护工作引起的养护工作人员或他人的人身损害和财产损失，乙方应承担由此引起的一切责任和由此引发的一切经济损失，与甲方无涉。</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6、乙方不得派年迈、弱智、童工、残疾、有劣迹人员在养护区域内工作，对有不良行为的养护人员，甲方有权提出调换人员，一经提出乙方必须在一周内予以调换。乙方的工作人员应遵守甲方的规章制度。</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7、乙方工作人员应遵守职业道德，注意文明用语，爱护公共财物，塑造良好形象。养护人员在工作区域内安全操作，未经许可不得随意进入非工作区，不得擅自撬、翻、毁、拿公私物品。</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8、按《2026年滨开区绿化管护服务项目相关养护附件》（见附件1）和甲方及其上级发布的管理规定、规范、办法、文件等执行。如遇新标准，按最新标准执行。</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9、园区保洁基本要求：园区道路、广场、铺装、边角区域每日定时清扫+巡回保洁，无纸屑、烟头、杂物、落叶、浮尘。垃圾桶、果皮箱定期清理、擦拭、消杀，做到日产日清、不满溢、无异味。排水沟、雨水井、绿化带边缘定期清掏，无淤泥堵塞、无堆积杂物。公共小品、座椅、标识、栏杆定期除尘擦拭，无积灰、蛛网、污渍。所有垃圾密闭收集转运，严禁就地堆放、焚烧。</w:t>
      </w:r>
      <w:r>
        <w:rPr>
          <w:rFonts w:hint="eastAsia" w:ascii="宋体" w:hAnsi="宋体" w:eastAsia="宋体" w:cs="宋体"/>
          <w:spacing w:val="2"/>
          <w:sz w:val="24"/>
          <w:szCs w:val="24"/>
          <w:highlight w:val="none"/>
          <w:lang w:val="en-US" w:eastAsia="zh-CN" w:bidi="ar-SA"/>
        </w:rPr>
      </w:r>
      <w:r/>
    </w:p>
    <w:p>
      <w:pPr>
        <w:pStyle w:val="825"/>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第七条 绿化养护内容的调整</w:t>
      </w:r>
      <w:r>
        <w:rPr>
          <w:rFonts w:hint="eastAsia" w:ascii="宋体" w:hAnsi="宋体" w:eastAsia="宋体" w:cs="宋体"/>
          <w:b/>
          <w:bCs/>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1、合同签订时因实际绿化养护面积与招标文件中所述面积有差异，以实际养护面积为准。乙方对养护面积有疑义的，以测绘面积为准。</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在合同履行过程中，若因政策调整(政策性发文)，工程改造、交接等，甲方亦有权对作业管养区域面积进行调整，养护作业面积出现变化时，以原合同综合单价和实际增减面积据实调整养护作业费用，不再予以任何其他形式的补偿。</w:t>
      </w:r>
      <w:r>
        <w:rPr>
          <w:rFonts w:hint="eastAsia" w:ascii="宋体" w:hAnsi="宋体" w:eastAsia="宋体" w:cs="宋体"/>
          <w:spacing w:val="2"/>
          <w:sz w:val="24"/>
          <w:szCs w:val="24"/>
          <w:highlight w:val="none"/>
          <w:lang w:val="en-US" w:eastAsia="zh-CN" w:bidi="ar-SA"/>
        </w:rPr>
      </w:r>
      <w:r/>
    </w:p>
    <w:p>
      <w:pPr>
        <w:pStyle w:val="825"/>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第八条 合同款支付</w:t>
      </w:r>
      <w:r>
        <w:rPr>
          <w:rFonts w:hint="eastAsia" w:ascii="宋体" w:hAnsi="宋体" w:eastAsia="宋体" w:cs="宋体"/>
          <w:b/>
          <w:bCs/>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1.本合同项下所有款项均以人民币支付。</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2.付款方式：本项目无预付款，根据项目考核结果及交接面积、时间按实结算，每半年结算一次。甲方每次付款前，乙方应按要求开具等额发票。</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cs="宋体"/>
          <w:spacing w:val="2"/>
          <w:sz w:val="24"/>
          <w:szCs w:val="24"/>
          <w:highlight w:val="none"/>
          <w:lang w:val="en-US" w:eastAsia="zh-CN" w:bidi="ar-SA"/>
        </w:rPr>
        <w:t xml:space="preserve">3</w:t>
      </w:r>
      <w:r>
        <w:rPr>
          <w:rFonts w:hint="eastAsia" w:ascii="宋体" w:hAnsi="宋体" w:eastAsia="宋体" w:cs="宋体"/>
          <w:spacing w:val="2"/>
          <w:sz w:val="24"/>
          <w:szCs w:val="24"/>
          <w:highlight w:val="none"/>
          <w:lang w:val="en-US" w:eastAsia="zh-CN" w:bidi="ar-SA"/>
        </w:rPr>
        <w:t xml:space="preserve">.移交工作:乙方进场前，甲方应组织甲、乙、移交方三方对移交内容进行签字确认并出移交单，移交方对现场存在的斑秃、死树等问题应提前进行缺陷责任期补种、重新清点苗木清单等工作，并三方确认整改结果。</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4.肥料和治虫药剂由乙方采购，肥料费、药剂费用己含在报价中，甲方不再另行支付。</w:t>
      </w:r>
      <w:r>
        <w:rPr>
          <w:rFonts w:hint="eastAsia" w:ascii="宋体" w:hAnsi="宋体" w:eastAsia="宋体" w:cs="宋体"/>
          <w:spacing w:val="2"/>
          <w:sz w:val="24"/>
          <w:szCs w:val="24"/>
          <w:highlight w:val="none"/>
          <w:lang w:val="en-US" w:eastAsia="zh-CN" w:bidi="ar-SA"/>
        </w:rPr>
      </w:r>
      <w:r/>
    </w:p>
    <w:p>
      <w:pPr>
        <w:pStyle w:val="825"/>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第九条 违约责任</w:t>
      </w:r>
      <w:r>
        <w:rPr>
          <w:rFonts w:hint="eastAsia" w:ascii="宋体" w:hAnsi="宋体" w:eastAsia="宋体" w:cs="宋体"/>
          <w:b/>
          <w:bCs/>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1.因乙方管理原因，造成树木、草坪死亡，由乙方负责补种，费用由乙方自理。</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2.因乙方管理不善，造成失误或未达到要求，甲方相应扣除相关费用。乙方如损坏甲方提供的设施、设备，由乙方自行修复，如甲方修复，则甲方有权从养护款中扣除维修费。无法修复的，乙方按原价赔偿</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3.如乙方不能按约定进行服务的，甲方有权解除合同，同时有权要求乙方按照合同总价5%的标准支付违约金，解除合同的通知自发出之日生效。</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4.甲方未按合同规定的期限向乙方支付货款的，每逾期1天甲方向乙方偿付欠款总额的5‰滞纳金，但累计滞纳金总额不超过欠款总额的5%。</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5.乙方未按本合同的规定和“服务承诺”提供伴随服务的，甲方有权提前解除本合同，同时乙方应按合同总价款的5%向甲方承担违约责任。</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6.乙方在承担上述一项或多项违约责任后，仍应继续履行合同规定的义务（甲方解除合同的除外）。甲方未能及时追究乙方的任何一项违约责任并不表明甲方放弃追究乙方该项或其他违约责任。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7.乙方属虚假承诺，或是由于乙方的过错造成合同无法继续履行的，应向甲方支付不少于合同总价30%违约金，若该违约金不足以弥补甲方损失，则应当赔偿甲方所有损失。</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8.其他未尽事宜，以《中华人民共和国民法典》等有关法律法规规定为准，无相关规定的，双方协商解决。</w:t>
      </w:r>
      <w:r>
        <w:rPr>
          <w:rFonts w:hint="eastAsia" w:ascii="宋体" w:hAnsi="宋体" w:eastAsia="宋体" w:cs="宋体"/>
          <w:spacing w:val="2"/>
          <w:sz w:val="24"/>
          <w:szCs w:val="24"/>
          <w:highlight w:val="none"/>
          <w:lang w:val="en-US" w:eastAsia="zh-CN" w:bidi="ar-SA"/>
        </w:rPr>
      </w:r>
      <w:r/>
    </w:p>
    <w:p>
      <w:pPr>
        <w:pStyle w:val="825"/>
        <w:ind w:firstLine="495"/>
        <w:keepLines w:val="0"/>
        <w:keepNext w:val="0"/>
        <w:pageBreakBefore w:val="0"/>
        <w:spacing w:line="360" w:lineRule="auto"/>
        <w:rPr>
          <w:rFonts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第十条 考核办法</w:t>
      </w:r>
      <w:r>
        <w:rPr>
          <w:rFonts w:ascii="宋体" w:hAnsi="宋体" w:eastAsia="宋体" w:cs="宋体"/>
          <w:b/>
          <w:bCs/>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管护考核通过重点核查、随机抽查、定期检查等方式评定绿化养护、卫生保洁的质量，每月检查评分一次，评分采用百分制(详见附件：考核管理办法)；月度考核分数达95分(含95分)，当月度考核不扣罚，当月度考核低于95分的，每低1分扣除当月应支付经费总额的1%；若乙方连续三次处于95分以下，则按三次扣罚总额的二倍处罚，并限期整改，如限期未整改到位，合同甲方有权终止合同乙方的管养，当月管养经费不予结算。</w:t>
      </w:r>
      <w:r>
        <w:rPr>
          <w:rFonts w:hint="eastAsia" w:ascii="宋体" w:hAnsi="宋体" w:eastAsia="宋体" w:cs="宋体"/>
          <w:spacing w:val="2"/>
          <w:sz w:val="24"/>
          <w:szCs w:val="24"/>
          <w:highlight w:val="none"/>
          <w:lang w:val="en-US" w:eastAsia="zh-CN" w:bidi="ar-SA"/>
        </w:rPr>
      </w:r>
      <w:r/>
    </w:p>
    <w:p>
      <w:pPr>
        <w:pStyle w:val="825"/>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第十一条 合同的变更和终止</w:t>
      </w:r>
      <w:r>
        <w:rPr>
          <w:rFonts w:hint="eastAsia" w:ascii="宋体" w:hAnsi="宋体" w:eastAsia="宋体" w:cs="宋体"/>
          <w:b/>
          <w:bCs/>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1.本合同一经签订，甲乙双方不得擅自变更、中止或终止合同。</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2.除发生法律规定的不能预见、不能避免并不能克服的客观情况外，甲乙双方不得放弃或拒绝履行合同。乙方放弃或拒绝履行合同。</w:t>
      </w:r>
      <w:r>
        <w:rPr>
          <w:rFonts w:hint="eastAsia" w:ascii="宋体" w:hAnsi="宋体" w:eastAsia="宋体" w:cs="宋体"/>
          <w:spacing w:val="2"/>
          <w:sz w:val="24"/>
          <w:szCs w:val="24"/>
          <w:highlight w:val="none"/>
          <w:lang w:val="en-US" w:eastAsia="zh-CN" w:bidi="ar-SA"/>
        </w:rPr>
      </w:r>
      <w:r/>
    </w:p>
    <w:p>
      <w:pPr>
        <w:pStyle w:val="825"/>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第十二条 合同的转让</w:t>
      </w:r>
      <w:r>
        <w:rPr>
          <w:rFonts w:hint="eastAsia" w:ascii="宋体" w:hAnsi="宋体" w:eastAsia="宋体" w:cs="宋体"/>
          <w:b/>
          <w:bCs/>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乙方不得擅自部分或全部转让其应履行的合同义务。</w:t>
      </w:r>
      <w:r>
        <w:rPr>
          <w:rFonts w:hint="eastAsia" w:ascii="宋体" w:hAnsi="宋体" w:eastAsia="宋体" w:cs="宋体"/>
          <w:spacing w:val="2"/>
          <w:sz w:val="24"/>
          <w:szCs w:val="24"/>
          <w:highlight w:val="none"/>
          <w:lang w:val="en-US" w:eastAsia="zh-CN" w:bidi="ar-SA"/>
        </w:rPr>
      </w:r>
      <w:r/>
    </w:p>
    <w:p>
      <w:pPr>
        <w:pStyle w:val="825"/>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第十三条 不可抗力</w:t>
      </w:r>
      <w:r>
        <w:rPr>
          <w:rFonts w:hint="eastAsia" w:ascii="宋体" w:hAnsi="宋体" w:eastAsia="宋体" w:cs="宋体"/>
          <w:b/>
          <w:bCs/>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甲、乙方中任何一方，因不可抗力不能按时或完全履行合同的，应及时通知对方，并</w:t>
      </w:r>
      <w:r>
        <w:rPr>
          <w:rFonts w:hint="eastAsia" w:ascii="宋体" w:hAnsi="宋体" w:cs="宋体"/>
          <w:spacing w:val="2"/>
          <w:sz w:val="24"/>
          <w:szCs w:val="24"/>
          <w:highlight w:val="none"/>
          <w:lang w:val="en-US" w:eastAsia="zh-CN" w:bidi="ar-SA"/>
        </w:rPr>
        <w:t xml:space="preserve">在</w:t>
      </w:r>
      <w:r>
        <w:rPr>
          <w:rFonts w:hint="eastAsia" w:ascii="宋体" w:hAnsi="宋体" w:eastAsia="宋体" w:cs="宋体"/>
          <w:spacing w:val="2"/>
          <w:sz w:val="24"/>
          <w:szCs w:val="24"/>
          <w:highlight w:val="none"/>
          <w:lang w:val="en-US" w:eastAsia="zh-CN" w:bidi="ar-SA"/>
        </w:rPr>
        <w:t xml:space="preserve">5日内提供相应证明。未履行完合同部分是否继续履行、如何履行等问题，可由双方初步协商，并向主管部门报告。确定为不可抗力原因造成的损失，免予承担责任。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spacing w:val="2"/>
          <w:sz w:val="24"/>
          <w:szCs w:val="24"/>
          <w:highlight w:val="none"/>
          <w:lang w:val="en-US" w:eastAsia="zh-CN" w:bidi="ar-SA"/>
        </w:rPr>
      </w:r>
      <w:r/>
    </w:p>
    <w:p>
      <w:pPr>
        <w:pStyle w:val="825"/>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第十四条 争议的解决</w:t>
      </w:r>
      <w:r>
        <w:rPr>
          <w:rFonts w:hint="eastAsia" w:ascii="宋体" w:hAnsi="宋体" w:eastAsia="宋体" w:cs="宋体"/>
          <w:b/>
          <w:bCs/>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1.因履行本合同引起的或与本合同有关的争议，甲、乙双方应首先通过友好协商解决，如果协商不能解决争议，则采取以下第（ ）种方式解决争议：</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（1）向甲方所在地人民法院提起诉讼；</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（2）向甲方所在地仲裁委员会按其仲裁规则申请仲裁。</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如没有约定，默认采取第2种方式解决争议。</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2.在法院审理和仲裁期间，除有争议部分外，本合同其他部分应继续履行。</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第十一条 诚实信用 </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乙方应诚实信用，严格按照招标文件要求和招标承诺履行合同，不向甲方进行商业贿赂或者提供不正当利益。</w:t>
      </w:r>
      <w:r>
        <w:rPr>
          <w:rFonts w:hint="eastAsia" w:ascii="宋体" w:hAnsi="宋体" w:eastAsia="宋体" w:cs="宋体"/>
          <w:spacing w:val="2"/>
          <w:sz w:val="24"/>
          <w:szCs w:val="24"/>
          <w:highlight w:val="none"/>
          <w:lang w:val="en-US" w:eastAsia="zh-CN" w:bidi="ar-SA"/>
        </w:rPr>
      </w:r>
      <w:r/>
    </w:p>
    <w:p>
      <w:pPr>
        <w:pStyle w:val="825"/>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第十五条 合同生效及其他</w:t>
      </w:r>
      <w:r>
        <w:rPr>
          <w:rFonts w:hint="eastAsia" w:ascii="宋体" w:hAnsi="宋体" w:eastAsia="宋体" w:cs="宋体"/>
          <w:b/>
          <w:bCs/>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2.本合同一式伍份，甲乙双方各执贰份，代理机构执壹份存档。</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3.本合同应按照中华人民共和国的现行法律进行解释。</w:t>
      </w:r>
      <w:r>
        <w:rPr>
          <w:rFonts w:hint="eastAsia" w:ascii="宋体" w:hAnsi="宋体" w:eastAsia="宋体" w:cs="宋体"/>
          <w:spacing w:val="2"/>
          <w:sz w:val="24"/>
          <w:szCs w:val="24"/>
          <w:highlight w:val="none"/>
          <w:lang w:val="en-US" w:eastAsia="zh-CN" w:bidi="ar-SA"/>
        </w:rPr>
      </w:r>
      <w:r/>
    </w:p>
    <w:p>
      <w:pPr>
        <w:pStyle w:val="825"/>
        <w:jc w:val="left"/>
        <w:keepLines w:val="0"/>
        <w:keepNext w:val="0"/>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5"/>
        <w:ind w:firstLine="490"/>
        <w:keepLines w:val="0"/>
        <w:keepNext w:val="0"/>
        <w:pageBreakBefore w:val="0"/>
        <w:spacing w:line="42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甲    方：</w:t>
      </w:r>
      <w:r>
        <w:rPr>
          <w:rFonts w:hint="eastAsia" w:ascii="宋体" w:hAnsi="宋体" w:eastAsia="宋体" w:cs="宋体"/>
          <w:spacing w:val="2"/>
          <w:sz w:val="24"/>
          <w:szCs w:val="24"/>
          <w:highlight w:val="none"/>
          <w:lang w:val="en-US" w:eastAsia="zh-CN" w:bidi="ar-SA"/>
        </w:rPr>
        <w:t xml:space="preserve">                              </w:t>
      </w:r>
      <w:r>
        <w:rPr>
          <w:rFonts w:hint="eastAsia" w:ascii="宋体" w:hAnsi="宋体" w:eastAsia="宋体" w:cs="宋体"/>
          <w:b/>
          <w:bCs/>
          <w:spacing w:val="2"/>
          <w:sz w:val="24"/>
          <w:szCs w:val="24"/>
          <w:highlight w:val="none"/>
          <w:lang w:val="en-US" w:eastAsia="zh-CN" w:bidi="ar-SA"/>
        </w:rPr>
        <w:t xml:space="preserve"> 乙    方：</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42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单位名称（章）：                         单位名称（章）：</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42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单位地址：                               单位地址：</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42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法定代表人：                             法定代表人：</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42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委托代理人：                             委托代理人：                            </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42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电话：                                   电话：</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42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传真：                                   传真：</w:t>
      </w:r>
      <w:r>
        <w:rPr>
          <w:rFonts w:hint="eastAsia" w:ascii="宋体" w:hAnsi="宋体" w:eastAsia="宋体" w:cs="宋体"/>
          <w:spacing w:val="2"/>
          <w:sz w:val="24"/>
          <w:szCs w:val="24"/>
          <w:highlight w:val="none"/>
          <w:lang w:val="en-US" w:eastAsia="zh-CN" w:bidi="ar-SA"/>
        </w:rPr>
      </w:r>
      <w:r/>
    </w:p>
    <w:p>
      <w:pPr>
        <w:pStyle w:val="825"/>
        <w:ind w:firstLine="488"/>
        <w:keepLines w:val="0"/>
        <w:keepNext w:val="0"/>
        <w:pageBreakBefore w:val="0"/>
        <w:spacing w:line="420" w:lineRule="exact"/>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                                         开户银行：        </w:t>
      </w:r>
      <w:r>
        <w:rPr>
          <w:rFonts w:hint="eastAsia" w:ascii="宋体" w:hAnsi="宋体" w:eastAsia="宋体" w:cs="宋体"/>
          <w:spacing w:val="2"/>
          <w:sz w:val="24"/>
          <w:szCs w:val="24"/>
          <w:highlight w:val="none"/>
          <w:lang w:val="en-US" w:eastAsia="zh-CN" w:bidi="ar-SA"/>
        </w:rPr>
      </w:r>
      <w:r/>
    </w:p>
    <w:p>
      <w:pPr>
        <w:pStyle w:val="825"/>
        <w:ind w:firstLine="5612"/>
        <w:keepLines w:val="0"/>
        <w:keepNext w:val="0"/>
        <w:pageBreakBefore w:val="0"/>
        <w:spacing w:line="420" w:lineRule="exact"/>
        <w:widowControl w:val="off"/>
        <w:tabs>
          <w:tab w:val="left" w:pos="900" w:leader="none"/>
          <w:tab w:val="left" w:pos="1980" w:leader="none"/>
        </w:tabs>
        <w:rPr>
          <w:rFonts w:hint="eastAsia" w:ascii="Times New Roman" w:hAnsi="Times New Roman" w:eastAsia="宋体" w:cs="Times New Roman"/>
          <w:sz w:val="24"/>
          <w:highlight w:val="none"/>
          <w:lang w:val="en-US" w:eastAsia="zh-CN"/>
        </w:rPr>
      </w:pPr>
      <w:r>
        <w:rPr>
          <w:rFonts w:hint="eastAsia" w:ascii="宋体" w:hAnsi="宋体" w:eastAsia="宋体" w:cs="宋体"/>
          <w:spacing w:val="2"/>
          <w:sz w:val="24"/>
          <w:szCs w:val="24"/>
          <w:highlight w:val="none"/>
          <w:lang w:val="en-US" w:eastAsia="zh-CN" w:bidi="ar-SA"/>
        </w:rPr>
        <w:t xml:space="preserve">账号：</w:t>
      </w:r>
      <w:r>
        <w:rPr>
          <w:rFonts w:hint="eastAsia" w:ascii="Times New Roman" w:hAnsi="Times New Roman" w:eastAsia="宋体" w:cs="Times New Roman"/>
          <w:sz w:val="24"/>
          <w:highlight w:val="none"/>
          <w:lang w:val="en-US" w:eastAsia="zh-CN"/>
        </w:rPr>
      </w:r>
      <w:r/>
    </w:p>
    <w:p>
      <w:pPr>
        <w:pStyle w:val="825"/>
        <w:ind w:firstLine="240"/>
        <w:spacing w:line="360" w:lineRule="auto"/>
        <w:rPr>
          <w:rFonts w:hint="eastAsia"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56"/>
        <w:jc w:val="left"/>
        <w:spacing w:before="71" w:line="219" w:lineRule="auto"/>
        <w:tabs>
          <w:tab w:val="left" w:pos="567" w:leader="none"/>
        </w:tabs>
        <w:rPr>
          <w:b/>
          <w:bCs/>
        </w:rPr>
      </w:pPr>
      <w:r>
        <w:rPr>
          <w:rFonts w:hint="eastAsia" w:ascii="宋体" w:hAnsi="宋体" w:eastAsia="宋体" w:cs="宋体"/>
          <w:b/>
          <w:bCs/>
          <w:spacing w:val="2"/>
          <w:sz w:val="24"/>
          <w:szCs w:val="24"/>
          <w:highlight w:val="none"/>
          <w:lang w:val="en-US" w:eastAsia="zh-CN" w:bidi="ar-SA"/>
        </w:rPr>
        <w:t xml:space="preserve">合同附件：考核管理办法</w:t>
      </w:r>
      <w:r>
        <w:rPr>
          <w:b/>
          <w:bCs/>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为进一步确保绿化各项工作落实到位，明确责任、理顺环节、加强督查、提高效率，把考核涉及的各项测评指标转化为常态工作目标，推进考评工作的科学化、精细化、规范化、制度化，特制定本办法。</w:t>
      </w:r>
      <w:r>
        <w:rPr>
          <w:rFonts w:hint="eastAsia" w:ascii="宋体" w:hAnsi="宋体" w:eastAsia="宋体" w:cs="宋体"/>
          <w:spacing w:val="2"/>
          <w:sz w:val="24"/>
          <w:szCs w:val="24"/>
          <w:highlight w:val="none"/>
          <w:lang w:val="en-US" w:eastAsia="zh-CN" w:bidi="ar-SA"/>
        </w:rPr>
      </w:r>
      <w:r/>
    </w:p>
    <w:p>
      <w:pPr>
        <w:pStyle w:val="825"/>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一 、考核范围</w:t>
      </w:r>
      <w:r>
        <w:rPr>
          <w:rFonts w:hint="eastAsia" w:ascii="宋体" w:hAnsi="宋体" w:eastAsia="宋体" w:cs="宋体"/>
          <w:b/>
          <w:bCs/>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2026年滨开区绿化管护服务。</w:t>
      </w:r>
      <w:r>
        <w:rPr>
          <w:rFonts w:hint="eastAsia" w:ascii="宋体" w:hAnsi="宋体" w:eastAsia="宋体" w:cs="宋体"/>
          <w:spacing w:val="2"/>
          <w:sz w:val="24"/>
          <w:szCs w:val="24"/>
          <w:highlight w:val="none"/>
          <w:lang w:val="en-US" w:eastAsia="zh-CN" w:bidi="ar-SA"/>
        </w:rPr>
      </w:r>
      <w:r/>
    </w:p>
    <w:p>
      <w:pPr>
        <w:pStyle w:val="825"/>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二、 考核内容</w:t>
      </w:r>
      <w:r>
        <w:rPr>
          <w:rFonts w:hint="eastAsia" w:ascii="宋体" w:hAnsi="宋体" w:eastAsia="宋体" w:cs="宋体"/>
          <w:b/>
          <w:bCs/>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考核内容以《考核实施细则》为依据，满分为100分。</w:t>
      </w:r>
      <w:r>
        <w:rPr>
          <w:rFonts w:hint="eastAsia" w:ascii="宋体" w:hAnsi="宋体" w:eastAsia="宋体" w:cs="宋体"/>
          <w:spacing w:val="2"/>
          <w:sz w:val="24"/>
          <w:szCs w:val="24"/>
          <w:highlight w:val="none"/>
          <w:lang w:val="en-US" w:eastAsia="zh-CN" w:bidi="ar-SA"/>
        </w:rPr>
      </w:r>
      <w:r/>
    </w:p>
    <w:p>
      <w:pPr>
        <w:pStyle w:val="825"/>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三、考评方式</w:t>
      </w:r>
      <w:r>
        <w:rPr>
          <w:rFonts w:hint="eastAsia" w:ascii="宋体" w:hAnsi="宋体" w:eastAsia="宋体" w:cs="宋体"/>
          <w:b/>
          <w:bCs/>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管护考核通过重点核查、随机抽查、定期检查等方式评定绿化养护、卫生保 洁的质量，每月检查评分一次。</w:t>
      </w:r>
      <w:r>
        <w:rPr>
          <w:rFonts w:hint="eastAsia" w:ascii="宋体" w:hAnsi="宋体" w:eastAsia="宋体" w:cs="宋体"/>
          <w:spacing w:val="2"/>
          <w:sz w:val="24"/>
          <w:szCs w:val="24"/>
          <w:highlight w:val="none"/>
          <w:lang w:val="en-US" w:eastAsia="zh-CN" w:bidi="ar-SA"/>
        </w:rPr>
      </w:r>
      <w:r/>
    </w:p>
    <w:p>
      <w:pPr>
        <w:pStyle w:val="825"/>
        <w:ind w:firstLine="495"/>
        <w:keepLines w:val="0"/>
        <w:keepNext w:val="0"/>
        <w:pageBreakBefore w:val="0"/>
        <w:spacing w:line="360" w:lineRule="auto"/>
        <w:rPr>
          <w:rFonts w:hint="eastAsia" w:ascii="宋体" w:hAnsi="宋体" w:eastAsia="宋体" w:cs="宋体"/>
          <w:b/>
          <w:bCs/>
          <w:spacing w:val="2"/>
          <w:sz w:val="24"/>
          <w:szCs w:val="24"/>
          <w:highlight w:val="none"/>
          <w:lang w:val="en-US" w:eastAsia="zh-CN" w:bidi="ar-SA"/>
        </w:rPr>
      </w:pPr>
      <w:r>
        <w:rPr>
          <w:rFonts w:hint="eastAsia" w:ascii="宋体" w:hAnsi="宋体" w:eastAsia="宋体" w:cs="宋体"/>
          <w:b/>
          <w:bCs/>
          <w:spacing w:val="2"/>
          <w:sz w:val="24"/>
          <w:szCs w:val="24"/>
          <w:highlight w:val="none"/>
          <w:lang w:val="en-US" w:eastAsia="zh-CN" w:bidi="ar-SA"/>
        </w:rPr>
        <w:t xml:space="preserve">四、考核评定</w:t>
      </w:r>
      <w:r>
        <w:rPr>
          <w:rFonts w:hint="eastAsia" w:ascii="宋体" w:hAnsi="宋体" w:eastAsia="宋体" w:cs="宋体"/>
          <w:b/>
          <w:bCs/>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 管养考核月度综合评分在95分以上者(含95分),该月度不处罚。</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2、管养考核月度综合评分在95分以下者，向下降一分，每低1分扣除当月应支付经费总额的1%,以此类推计算。</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3、如连续三次处于95分以下，按三次处罚总额的二倍处罚，并限期整改， 如限期未整改到位，甲方有权终止合同。</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4、有下列情形之一的，合同甲方有权单方终止合同乙方的管养工作：</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(1)未按合同的要求(如人员不固定、长期少于固定要求养护人员等)组织养护工作的；</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(2)管养考核月度综合评分(极端天气除外),低于70分的；</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t xml:space="preserve">(3)未按甲方要求及时进行整改并无正当理由拒不整改(书面)的。</w:t>
      </w:r>
      <w:r>
        <w:rPr>
          <w:rFonts w:hint="eastAsia" w:ascii="宋体" w:hAnsi="宋体" w:eastAsia="宋体" w:cs="宋体"/>
          <w:spacing w:val="2"/>
          <w:sz w:val="24"/>
          <w:szCs w:val="24"/>
          <w:highlight w:val="none"/>
          <w:lang w:val="en-US" w:eastAsia="zh-CN" w:bidi="ar-SA"/>
        </w:rPr>
      </w:r>
      <w:r/>
    </w:p>
    <w:p>
      <w:pPr>
        <w:pStyle w:val="825"/>
        <w:ind w:firstLine="492"/>
        <w:keepLines w:val="0"/>
        <w:keepNext w:val="0"/>
        <w:pageBreakBefore w:val="0"/>
        <w:spacing w:line="360" w:lineRule="auto"/>
      </w:pPr>
      <w:r>
        <w:rPr>
          <w:rFonts w:hint="eastAsia" w:ascii="宋体" w:hAnsi="宋体" w:eastAsia="宋体" w:cs="宋体"/>
          <w:spacing w:val="2"/>
          <w:sz w:val="24"/>
          <w:szCs w:val="24"/>
          <w:highlight w:val="none"/>
          <w:lang w:val="en-US" w:eastAsia="zh-CN" w:bidi="ar-SA"/>
        </w:rPr>
        <w:t xml:space="preserve">5、月度考核评分标准以《考核实施细则》为准。</w:t>
      </w:r>
      <w:r/>
    </w:p>
    <w:p>
      <w:pPr>
        <w:pStyle w:val="825"/>
        <w:spacing w:line="219" w:lineRule="auto"/>
        <w:sectPr>
          <w:footnotePr/>
          <w:endnotePr/>
          <w:type w:val="nextPage"/>
          <w:pgSz w:w="11910" w:h="16840" w:orient="portrait"/>
          <w:pgMar w:top="1431" w:right="1786" w:bottom="0" w:left="1786" w:header="0" w:footer="0" w:gutter="0"/>
          <w:cols w:num="1" w:sep="0" w:space="1701" w:equalWidth="1"/>
          <w:docGrid w:linePitch="360"/>
        </w:sectPr>
      </w:pPr>
      <w:r/>
      <w:r/>
    </w:p>
    <w:p>
      <w:pPr>
        <w:pStyle w:val="825"/>
        <w:ind w:firstLine="657"/>
        <w:jc w:val="center"/>
        <w:keepLines w:val="0"/>
        <w:keepNext w:val="0"/>
        <w:pageBreakBefore w:val="0"/>
        <w:spacing w:line="360" w:lineRule="auto"/>
        <w:rPr>
          <w:rFonts w:hint="eastAsia" w:ascii="宋体" w:hAnsi="宋体" w:eastAsia="宋体" w:cs="宋体"/>
          <w:b/>
          <w:bCs/>
          <w:spacing w:val="2"/>
          <w:sz w:val="32"/>
          <w:szCs w:val="32"/>
          <w:highlight w:val="none"/>
          <w:lang w:val="en-US" w:eastAsia="zh-CN" w:bidi="ar-SA"/>
        </w:rPr>
      </w:pPr>
      <w:r>
        <w:rPr>
          <w:rFonts w:hint="eastAsia" w:ascii="宋体" w:hAnsi="宋体" w:eastAsia="宋体" w:cs="宋体"/>
          <w:b/>
          <w:bCs/>
          <w:spacing w:val="2"/>
          <w:sz w:val="32"/>
          <w:szCs w:val="32"/>
          <w:highlight w:val="none"/>
          <w:lang w:val="en-US" w:eastAsia="zh-CN" w:bidi="ar-SA"/>
        </w:rPr>
        <w:t xml:space="preserve">考核实施细则</w:t>
      </w:r>
      <w:r>
        <w:rPr>
          <w:rFonts w:hint="eastAsia" w:ascii="宋体" w:hAnsi="宋体" w:eastAsia="宋体" w:cs="宋体"/>
          <w:b/>
          <w:bCs/>
          <w:spacing w:val="2"/>
          <w:sz w:val="32"/>
          <w:szCs w:val="32"/>
          <w:highlight w:val="none"/>
          <w:lang w:val="en-US" w:eastAsia="zh-CN" w:bidi="ar-SA"/>
        </w:rPr>
      </w:r>
      <w:r/>
    </w:p>
    <w:p>
      <w:pPr>
        <w:pStyle w:val="825"/>
        <w:spacing w:line="43" w:lineRule="exact"/>
      </w:p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81"/>
        <w:gridCol w:w="2769"/>
        <w:gridCol w:w="1967"/>
        <w:gridCol w:w="832"/>
        <w:gridCol w:w="985"/>
        <w:gridCol w:w="985"/>
      </w:tblGrid>
      <w:tr>
        <w:trPr>
          <w:trHeight w:val="560"/>
        </w:trPr>
        <w:tc>
          <w:tcPr>
            <w:tcW w:w="576" w:type="dxa"/>
            <w:vAlign w:val="center"/>
            <w:textDirection w:val="lrTb"/>
            <w:noWrap w:val="false"/>
          </w:tcPr>
          <w:p>
            <w:pPr>
              <w:pStyle w:val="82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rPr>
                <w:rFonts w:hint="eastAsia" w:ascii="宋体" w:hAnsi="宋体" w:eastAsia="宋体" w:cs="宋体"/>
                <w:i w:val="0"/>
                <w:iCs w:val="0"/>
                <w:color w:val="000000"/>
                <w:sz w:val="24"/>
                <w:szCs w:val="24"/>
                <w:u w:val="none"/>
              </w:rPr>
            </w:r>
            <w:r/>
          </w:p>
        </w:tc>
        <w:tc>
          <w:tcPr>
            <w:gridSpan w:val="3"/>
            <w:tcW w:w="5568" w:type="dxa"/>
            <w:vAlign w:val="center"/>
            <w:textDirection w:val="lrTb"/>
            <w:noWrap w:val="false"/>
          </w:tcPr>
          <w:p>
            <w:pPr>
              <w:pStyle w:val="82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考核标准</w:t>
            </w:r>
            <w:r>
              <w:rPr>
                <w:rFonts w:hint="eastAsia" w:ascii="宋体" w:hAnsi="宋体" w:eastAsia="宋体" w:cs="宋体"/>
                <w:i w:val="0"/>
                <w:iCs w:val="0"/>
                <w:color w:val="000000"/>
                <w:sz w:val="24"/>
                <w:szCs w:val="24"/>
                <w:u w:val="none"/>
              </w:rPr>
            </w:r>
            <w:r/>
          </w:p>
        </w:tc>
        <w:tc>
          <w:tcPr>
            <w:tcW w:w="578" w:type="dxa"/>
            <w:vAlign w:val="center"/>
            <w:textDirection w:val="lrTb"/>
            <w:noWrap w:val="false"/>
          </w:tcPr>
          <w:p>
            <w:pPr>
              <w:pStyle w:val="82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扣分点</w:t>
            </w:r>
            <w:r>
              <w:rPr>
                <w:rFonts w:hint="eastAsia" w:ascii="宋体" w:hAnsi="宋体" w:eastAsia="宋体" w:cs="宋体"/>
                <w:i w:val="0"/>
                <w:iCs w:val="0"/>
                <w:color w:val="000000"/>
                <w:sz w:val="24"/>
                <w:szCs w:val="24"/>
                <w:u w:val="none"/>
              </w:rPr>
            </w:r>
            <w:r/>
          </w:p>
        </w:tc>
        <w:tc>
          <w:tcPr>
            <w:tcW w:w="578" w:type="dxa"/>
            <w:vAlign w:val="center"/>
            <w:textDirection w:val="lrTb"/>
            <w:noWrap w:val="false"/>
          </w:tcPr>
          <w:p>
            <w:pPr>
              <w:pStyle w:val="82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得分</w:t>
            </w:r>
            <w:r>
              <w:rPr>
                <w:rFonts w:hint="eastAsia" w:ascii="宋体" w:hAnsi="宋体" w:eastAsia="宋体" w:cs="宋体"/>
                <w:i w:val="0"/>
                <w:iCs w:val="0"/>
                <w:color w:val="000000"/>
                <w:sz w:val="24"/>
                <w:szCs w:val="24"/>
                <w:u w:val="none"/>
              </w:rPr>
            </w:r>
            <w:r/>
          </w:p>
        </w:tc>
      </w:tr>
      <w:tr>
        <w:trPr>
          <w:trHeight w:val="5130"/>
        </w:trPr>
        <w:tc>
          <w:tcPr>
            <w:tcW w:w="576" w:type="dxa"/>
            <w:vAlign w:val="center"/>
            <w:textDirection w:val="lrTb"/>
            <w:noWrap w:val="false"/>
          </w:tcPr>
          <w:p>
            <w:pPr>
              <w:pStyle w:val="82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地被、色块、水生植物养护</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gridSpan w:val="3"/>
            <w:tcW w:w="5568" w:type="dxa"/>
            <w:vAlign w:val="center"/>
            <w:textDirection w:val="lrTb"/>
            <w:noWrap w:val="false"/>
          </w:tcPr>
          <w:p>
            <w:pPr>
              <w:pStyle w:val="82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1、草坪生长旺盛，色泽均匀，平整无积水，边沟圆润清晰。出现草坪、 草地生长差，空秃大于1m²的(绿地分割沟和待种植的平整地除外),发现一处扣0.5分。草坪修剪及时并整齐，冷季型草坪留茬高度不超过6-7cm,暖季型草坪留茬高度不超过4-5cm。当草坪实际高度超过额定高度1/3时，应进行修剪。冷季型草坪高度超过15cm,暖季型草坪高度超过10cm。发现一处扣1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2、化学除草谨慎使用，如发生周边植物发生</w:t>
            </w:r>
            <w:r>
              <w:rPr>
                <w:rFonts w:hint="eastAsia" w:ascii="宋体" w:hAnsi="宋体" w:eastAsia="宋体" w:cs="宋体"/>
                <w:i w:val="0"/>
                <w:iCs w:val="0"/>
                <w:color w:val="000000"/>
                <w:sz w:val="24"/>
                <w:szCs w:val="24"/>
                <w:highlight w:val="none"/>
                <w:u w:val="none"/>
                <w:lang w:val="en-US" w:eastAsia="zh-CN" w:bidi="ar"/>
              </w:rPr>
              <w:t xml:space="preserve">药害</w:t>
            </w:r>
            <w:r>
              <w:rPr>
                <w:rFonts w:hint="eastAsia" w:ascii="宋体" w:hAnsi="宋体" w:eastAsia="宋体" w:cs="宋体"/>
                <w:i w:val="0"/>
                <w:iCs w:val="0"/>
                <w:color w:val="000000"/>
                <w:sz w:val="24"/>
                <w:szCs w:val="24"/>
                <w:u w:val="none"/>
                <w:lang w:val="en-US" w:eastAsia="zh-CN" w:bidi="ar"/>
              </w:rPr>
              <w:t xml:space="preserve">1平方米，发现一处扣2分；杂草高度不得高于10cm,有明显高于草坪、草花、灌木植株杂草的，发现一处扣0.5分。(雨季酌情)</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3、地被植物密度及配置合理，长势良好，对因各种因素导致的空秃区域及时补种，补种不及时或不到位的发现一处扣0.5分。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4、水系内无明显侵占性水生植物，侵占性水生植物超过1m²,发现1处 扣0.5分。种植的水生植物无杂草和病虫害痕迹，且生长良好。水生植物秋冬季按生长习性及观赏要求收割及时，发现1处不规范扣0.5分。</w:t>
            </w:r>
            <w:r>
              <w:rPr>
                <w:rFonts w:hint="eastAsia" w:ascii="宋体" w:hAnsi="宋体" w:eastAsia="宋体" w:cs="宋体"/>
                <w:i w:val="0"/>
                <w:iCs w:val="0"/>
                <w:color w:val="000000"/>
                <w:sz w:val="24"/>
                <w:szCs w:val="24"/>
                <w:u w:val="none"/>
              </w:rPr>
            </w:r>
            <w:r/>
          </w:p>
        </w:tc>
        <w:tc>
          <w:tcPr>
            <w:tcW w:w="578" w:type="dxa"/>
            <w:vAlign w:val="center"/>
            <w:textDirection w:val="lrTb"/>
            <w:noWrap w:val="false"/>
          </w:tcPr>
          <w:p>
            <w:pPr>
              <w:pStyle w:val="82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78" w:type="dxa"/>
            <w:vAlign w:val="center"/>
            <w:textDirection w:val="lrTb"/>
            <w:noWrap w:val="false"/>
          </w:tcPr>
          <w:p>
            <w:pPr>
              <w:pStyle w:val="82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90"/>
        </w:trPr>
        <w:tc>
          <w:tcPr>
            <w:tcW w:w="576" w:type="dxa"/>
            <w:vAlign w:val="center"/>
            <w:textDirection w:val="lrTb"/>
            <w:noWrap w:val="false"/>
          </w:tcPr>
          <w:p>
            <w:pPr>
              <w:pStyle w:val="82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乔灌木、球类、绿篱等养护</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gridSpan w:val="3"/>
            <w:tcW w:w="5568" w:type="dxa"/>
            <w:vAlign w:val="center"/>
            <w:textDirection w:val="lrTb"/>
            <w:noWrap w:val="false"/>
          </w:tcPr>
          <w:p>
            <w:pPr>
              <w:pStyle w:val="82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1、乔灌木长势良好，密度适宜，无缺死株、枯枝、树桩，乔木根部无萌孽枝，发现一处扣0.5分。树种养护措施得当，因养护不到位导致树种 长势衰退或死亡的，发现一处扣2分。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2、修剪符合操作规范，做好安全措施，修剪及时、合理，色块、绿篱边缘清晰，线条流畅，造型灌木规整有型，发现一处扣1分。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植物保护适当，提倡使用生物、物理防治和人工清除等多种手段控制病虫害，化学防治要必须使用高效低毒农药，配比严格按照要求进行，病虫害控制在不影响观赏的程度以下。乔灌木单株叶片受害率大于20%、蛀干性害虫新出口大于5个，其它植物受害面积大于1m²,发现一处扣0.5分：用药不合理造成明显药害(生长不良、叶片畸形、凋萎、落叶、落花、落果),发现一处扣1分。</w:t>
            </w:r>
            <w:r>
              <w:rPr>
                <w:rFonts w:hint="eastAsia" w:ascii="宋体" w:hAnsi="宋体" w:eastAsia="宋体" w:cs="宋体"/>
                <w:i w:val="0"/>
                <w:iCs w:val="0"/>
                <w:color w:val="000000"/>
                <w:sz w:val="24"/>
                <w:szCs w:val="24"/>
                <w:u w:val="none"/>
              </w:rPr>
            </w:r>
            <w:r/>
          </w:p>
        </w:tc>
        <w:tc>
          <w:tcPr>
            <w:tcW w:w="578" w:type="dxa"/>
            <w:vAlign w:val="center"/>
            <w:textDirection w:val="lrTb"/>
            <w:noWrap w:val="false"/>
          </w:tcPr>
          <w:p>
            <w:pPr>
              <w:pStyle w:val="82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78" w:type="dxa"/>
            <w:vAlign w:val="center"/>
            <w:textDirection w:val="lrTb"/>
            <w:noWrap w:val="false"/>
          </w:tcPr>
          <w:p>
            <w:pPr>
              <w:pStyle w:val="82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840"/>
        </w:trPr>
        <w:tc>
          <w:tcPr>
            <w:tcW w:w="576" w:type="dxa"/>
            <w:vAlign w:val="center"/>
            <w:textDirection w:val="lrTb"/>
            <w:noWrap w:val="false"/>
          </w:tcPr>
          <w:p>
            <w:pPr>
              <w:pStyle w:val="82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gridSpan w:val="3"/>
            <w:tcW w:w="5568" w:type="dxa"/>
            <w:vAlign w:val="center"/>
            <w:textDirection w:val="lrTb"/>
            <w:noWrap w:val="false"/>
          </w:tcPr>
          <w:p>
            <w:pPr>
              <w:pStyle w:val="82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1、管护范围内无烟头、杂物、生活垃圾、建筑垃圾、动物尸体、焚烧垃圾、油污现象等。发现一处扣0.5分。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2、管养范围内保持水系干净，无漂浮物。发现一处扣0.5分。</w:t>
            </w:r>
            <w:r>
              <w:rPr>
                <w:rFonts w:hint="eastAsia" w:ascii="宋体" w:hAnsi="宋体" w:eastAsia="宋体" w:cs="宋体"/>
                <w:i w:val="0"/>
                <w:iCs w:val="0"/>
                <w:color w:val="000000"/>
                <w:sz w:val="24"/>
                <w:szCs w:val="24"/>
                <w:u w:val="none"/>
              </w:rPr>
            </w:r>
            <w:r/>
          </w:p>
        </w:tc>
        <w:tc>
          <w:tcPr>
            <w:tcW w:w="578" w:type="dxa"/>
            <w:vAlign w:val="center"/>
            <w:textDirection w:val="lrTb"/>
            <w:noWrap w:val="false"/>
          </w:tcPr>
          <w:p>
            <w:pPr>
              <w:pStyle w:val="82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78" w:type="dxa"/>
            <w:vAlign w:val="center"/>
            <w:textDirection w:val="lrTb"/>
            <w:noWrap w:val="false"/>
          </w:tcPr>
          <w:p>
            <w:pPr>
              <w:pStyle w:val="82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840"/>
        </w:trPr>
        <w:tc>
          <w:tcPr>
            <w:tcW w:w="576" w:type="dxa"/>
            <w:vAlign w:val="center"/>
            <w:textDirection w:val="lrTb"/>
            <w:noWrap w:val="false"/>
          </w:tcPr>
          <w:p>
            <w:pPr>
              <w:pStyle w:val="82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gridSpan w:val="3"/>
            <w:tcW w:w="5568" w:type="dxa"/>
            <w:vAlign w:val="center"/>
            <w:textDirection w:val="lrTb"/>
            <w:noWrap w:val="false"/>
          </w:tcPr>
          <w:p>
            <w:pPr>
              <w:pStyle w:val="825"/>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管养期内每月按时申报工作计划，做好各项记录，健全各类台帐，根据 情况酌情扣分。</w:t>
            </w:r>
            <w:r>
              <w:rPr>
                <w:rFonts w:hint="eastAsia" w:ascii="宋体" w:hAnsi="宋体" w:eastAsia="宋体" w:cs="宋体"/>
                <w:i w:val="0"/>
                <w:iCs w:val="0"/>
                <w:color w:val="000000"/>
                <w:sz w:val="24"/>
                <w:szCs w:val="24"/>
                <w:u w:val="none"/>
              </w:rPr>
            </w:r>
            <w:r/>
          </w:p>
        </w:tc>
        <w:tc>
          <w:tcPr>
            <w:tcW w:w="578" w:type="dxa"/>
            <w:vAlign w:val="center"/>
            <w:textDirection w:val="lrTb"/>
            <w:noWrap w:val="false"/>
          </w:tcPr>
          <w:p>
            <w:pPr>
              <w:pStyle w:val="82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78" w:type="dxa"/>
            <w:vAlign w:val="center"/>
            <w:textDirection w:val="lrTb"/>
            <w:noWrap w:val="false"/>
          </w:tcPr>
          <w:p>
            <w:pPr>
              <w:pStyle w:val="82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tcW w:w="576" w:type="dxa"/>
            <w:vAlign w:val="center"/>
            <w:textDirection w:val="lrTb"/>
            <w:noWrap w:val="false"/>
          </w:tcPr>
          <w:p>
            <w:pPr>
              <w:pStyle w:val="82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rPr>
                <w:rFonts w:hint="eastAsia" w:ascii="宋体" w:hAnsi="宋体" w:eastAsia="宋体" w:cs="宋体"/>
                <w:i w:val="0"/>
                <w:iCs w:val="0"/>
                <w:color w:val="000000"/>
                <w:sz w:val="24"/>
                <w:szCs w:val="24"/>
                <w:u w:val="none"/>
              </w:rPr>
            </w:r>
            <w:r/>
          </w:p>
        </w:tc>
        <w:tc>
          <w:tcPr>
            <w:gridSpan w:val="3"/>
            <w:tcW w:w="5568" w:type="dxa"/>
            <w:vAlign w:val="center"/>
            <w:textDirection w:val="lrTb"/>
            <w:noWrap w:val="false"/>
          </w:tcPr>
          <w:p>
            <w:pPr>
              <w:pStyle w:val="82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78" w:type="dxa"/>
            <w:vAlign w:val="center"/>
            <w:textDirection w:val="lrTb"/>
            <w:noWrap w:val="false"/>
          </w:tcPr>
          <w:p>
            <w:pPr>
              <w:pStyle w:val="82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78" w:type="dxa"/>
            <w:vAlign w:val="center"/>
            <w:textDirection w:val="lrTb"/>
            <w:noWrap w:val="false"/>
          </w:tcPr>
          <w:p>
            <w:pPr>
              <w:pStyle w:val="82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840"/>
        </w:trPr>
        <w:tc>
          <w:tcPr>
            <w:tcW w:w="576" w:type="dxa"/>
            <w:vAlign w:val="center"/>
            <w:textDirection w:val="lrTb"/>
            <w:noWrap w:val="false"/>
          </w:tcPr>
          <w:p>
            <w:pPr>
              <w:pStyle w:val="82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被考核单位：</w:t>
            </w:r>
            <w:r>
              <w:rPr>
                <w:rFonts w:hint="eastAsia" w:ascii="宋体" w:hAnsi="宋体" w:eastAsia="宋体" w:cs="宋体"/>
                <w:i w:val="0"/>
                <w:iCs w:val="0"/>
                <w:color w:val="000000"/>
                <w:sz w:val="24"/>
                <w:szCs w:val="24"/>
                <w:u w:val="none"/>
              </w:rPr>
            </w:r>
            <w:r/>
          </w:p>
        </w:tc>
        <w:tc>
          <w:tcPr>
            <w:tcW w:w="1625" w:type="dxa"/>
            <w:vAlign w:val="center"/>
            <w:textDirection w:val="lrTb"/>
            <w:noWrap w:val="false"/>
          </w:tcPr>
          <w:p>
            <w:pPr>
              <w:pStyle w:val="82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4" w:type="dxa"/>
            <w:vAlign w:val="center"/>
            <w:textDirection w:val="lrTb"/>
            <w:noWrap w:val="false"/>
          </w:tcPr>
          <w:p>
            <w:pPr>
              <w:pStyle w:val="82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考核领导小组：</w:t>
            </w:r>
            <w:r>
              <w:rPr>
                <w:rFonts w:hint="eastAsia" w:ascii="宋体" w:hAnsi="宋体" w:eastAsia="宋体" w:cs="宋体"/>
                <w:i w:val="0"/>
                <w:iCs w:val="0"/>
                <w:color w:val="000000"/>
                <w:sz w:val="24"/>
                <w:szCs w:val="24"/>
                <w:u w:val="none"/>
              </w:rPr>
            </w:r>
            <w:r/>
          </w:p>
        </w:tc>
        <w:tc>
          <w:tcPr>
            <w:gridSpan w:val="3"/>
            <w:tcW w:w="2802" w:type="dxa"/>
            <w:vAlign w:val="center"/>
            <w:textDirection w:val="lrTb"/>
            <w:noWrap w:val="false"/>
          </w:tcPr>
          <w:p>
            <w:pPr>
              <w:pStyle w:val="82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825"/>
        <w:ind w:firstLine="492"/>
        <w:jc w:val="both"/>
        <w:keepLines w:val="0"/>
        <w:keepNext w:val="0"/>
        <w:pageBreakBefore w:val="0"/>
        <w:spacing w:line="360" w:lineRule="auto"/>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bidi="ar-SA"/>
        </w:rPr>
      </w:r>
      <w:r/>
    </w:p>
    <w:p>
      <w:pPr>
        <w:pStyle w:val="856"/>
        <w:tabs>
          <w:tab w:val="left" w:pos="567" w:leader="none"/>
        </w:tabs>
        <w:sectPr>
          <w:footnotePr/>
          <w:endnotePr/>
          <w:type w:val="nextPage"/>
          <w:pgSz w:w="11906" w:h="16838" w:orient="portrait"/>
          <w:pgMar w:top="1440" w:right="1800" w:bottom="1440" w:left="1800" w:header="851" w:footer="992" w:gutter="0"/>
          <w:cols w:num="1" w:sep="0" w:space="1701" w:equalWidth="1"/>
          <w:docGrid w:linePitch="360"/>
        </w:sectPr>
      </w:pPr>
      <w:r/>
      <w:r/>
    </w:p>
    <w:p>
      <w:pPr>
        <w:pStyle w:val="825"/>
      </w:pPr>
      <w:r/>
      <w:r/>
    </w:p>
    <w:p>
      <w:pPr>
        <w:pStyle w:val="825"/>
        <w:rPr>
          <w:rFonts w:hint="eastAsia"/>
          <w:highlight w:val="none"/>
        </w:rPr>
      </w:pPr>
      <w:r>
        <w:rPr>
          <w:rFonts w:hint="eastAsia"/>
          <w:highlight w:val="none"/>
        </w:rPr>
      </w:r>
      <w:r/>
    </w:p>
    <w:p>
      <w:pPr>
        <w:pStyle w:val="825"/>
        <w:jc w:val="center"/>
        <w:spacing w:line="360" w:lineRule="auto"/>
        <w:rPr>
          <w:b/>
          <w:sz w:val="36"/>
          <w:szCs w:val="36"/>
          <w:highlight w:val="none"/>
        </w:rPr>
        <w:outlineLvl w:val="0"/>
      </w:pPr>
      <w:r/>
      <w:bookmarkEnd w:id="808"/>
      <w:r/>
      <w:bookmarkStart w:id="809" w:name="_Toc99301426"/>
      <w:r>
        <w:rPr>
          <w:b/>
          <w:sz w:val="36"/>
          <w:szCs w:val="36"/>
          <w:highlight w:val="none"/>
        </w:rPr>
        <w:t xml:space="preserve">第七章   投标文件格式</w:t>
      </w:r>
      <w:bookmarkEnd w:id="809"/>
      <w:r>
        <w:rPr>
          <w:b/>
          <w:sz w:val="36"/>
          <w:szCs w:val="36"/>
          <w:highlight w:val="none"/>
        </w:rPr>
      </w:r>
      <w:r/>
    </w:p>
    <w:p>
      <w:pPr>
        <w:pStyle w:val="825"/>
        <w:ind w:left="142"/>
        <w:spacing w:line="360" w:lineRule="auto"/>
        <w:tabs>
          <w:tab w:val="left" w:pos="900" w:leader="none"/>
          <w:tab w:val="left" w:pos="1980" w:leader="none"/>
        </w:tabs>
        <w:rPr>
          <w:b/>
          <w:sz w:val="24"/>
          <w:highlight w:val="none"/>
        </w:rPr>
      </w:pPr>
      <w:r>
        <w:rPr>
          <w:b/>
          <w:sz w:val="24"/>
          <w:highlight w:val="none"/>
        </w:rPr>
      </w:r>
      <w:r/>
    </w:p>
    <w:p>
      <w:pPr>
        <w:pStyle w:val="825"/>
        <w:ind w:left="142"/>
        <w:spacing w:line="360" w:lineRule="auto"/>
        <w:tabs>
          <w:tab w:val="left" w:pos="900" w:leader="none"/>
          <w:tab w:val="left" w:pos="1980" w:leader="none"/>
        </w:tabs>
        <w:rPr>
          <w:b/>
          <w:sz w:val="24"/>
          <w:highlight w:val="none"/>
        </w:rPr>
      </w:pPr>
      <w:r>
        <w:rPr>
          <w:b/>
          <w:sz w:val="24"/>
          <w:highlight w:val="none"/>
        </w:rPr>
      </w:r>
      <w:r/>
    </w:p>
    <w:p>
      <w:pPr>
        <w:pStyle w:val="825"/>
        <w:ind w:left="142"/>
        <w:spacing w:line="360" w:lineRule="auto"/>
        <w:tabs>
          <w:tab w:val="left" w:pos="900" w:leader="none"/>
          <w:tab w:val="left" w:pos="1980" w:leader="none"/>
        </w:tabs>
        <w:rPr>
          <w:sz w:val="24"/>
          <w:highlight w:val="none"/>
        </w:rPr>
      </w:pPr>
      <w:r>
        <w:rPr>
          <w:b/>
          <w:sz w:val="24"/>
          <w:highlight w:val="none"/>
        </w:rPr>
        <w:t xml:space="preserve">投标人编制文件须知</w:t>
      </w:r>
      <w:r>
        <w:rPr>
          <w:sz w:val="24"/>
          <w:highlight w:val="none"/>
        </w:rPr>
      </w:r>
      <w:r/>
    </w:p>
    <w:p>
      <w:pPr>
        <w:pStyle w:val="825"/>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sz w:val="24"/>
          <w:highlight w:val="none"/>
        </w:rPr>
      </w:r>
      <w:r/>
    </w:p>
    <w:p>
      <w:pPr>
        <w:pStyle w:val="825"/>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825"/>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825"/>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rPr>
          <w:sz w:val="24"/>
          <w:highlight w:val="none"/>
        </w:rPr>
      </w:r>
      <w:r/>
    </w:p>
    <w:p>
      <w:pPr>
        <w:pStyle w:val="825"/>
        <w:jc w:val="left"/>
        <w:widowControl/>
        <w:rPr>
          <w:sz w:val="24"/>
          <w:highlight w:val="none"/>
        </w:rPr>
      </w:pPr>
      <w:r>
        <w:rPr>
          <w:sz w:val="24"/>
          <w:highlight w:val="none"/>
        </w:rPr>
        <w:br w:type="page" w:clear="all"/>
      </w:r>
      <w:r>
        <w:rPr>
          <w:sz w:val="24"/>
          <w:highlight w:val="none"/>
        </w:rPr>
      </w:r>
      <w:r/>
    </w:p>
    <w:p>
      <w:pPr>
        <w:pStyle w:val="825"/>
        <w:jc w:val="left"/>
        <w:keepLines/>
        <w:keepNext/>
        <w:spacing w:before="120" w:line="300" w:lineRule="auto"/>
        <w:rPr>
          <w:b/>
          <w:sz w:val="30"/>
          <w:szCs w:val="20"/>
          <w:highlight w:val="none"/>
        </w:rPr>
        <w:outlineLvl w:val="1"/>
      </w:pPr>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Pr>
          <w:b/>
          <w:spacing w:val="20"/>
          <w:sz w:val="24"/>
          <w:highlight w:val="none"/>
        </w:rPr>
        <w:t xml:space="preserve">一、资格证明文件格式</w:t>
      </w:r>
      <w:r>
        <w:rPr>
          <w:b/>
          <w:sz w:val="30"/>
          <w:szCs w:val="20"/>
          <w:highlight w:val="none"/>
        </w:rPr>
      </w:r>
      <w:r/>
    </w:p>
    <w:p>
      <w:pPr>
        <w:pStyle w:val="825"/>
        <w:rPr>
          <w:b/>
          <w:spacing w:val="20"/>
          <w:szCs w:val="21"/>
          <w:highlight w:val="none"/>
        </w:rPr>
      </w:pPr>
      <w:r>
        <w:rPr>
          <w:b/>
          <w:spacing w:val="20"/>
          <w:szCs w:val="21"/>
          <w:highlight w:val="none"/>
        </w:rPr>
      </w:r>
      <w:r/>
    </w:p>
    <w:p>
      <w:pPr>
        <w:pStyle w:val="825"/>
        <w:rPr>
          <w:b/>
          <w:sz w:val="24"/>
          <w:highlight w:val="none"/>
        </w:rPr>
      </w:pPr>
      <w:r>
        <w:rPr>
          <w:b/>
          <w:spacing w:val="20"/>
          <w:sz w:val="24"/>
          <w:highlight w:val="none"/>
        </w:rPr>
        <w:t xml:space="preserve">投标文件</w:t>
      </w:r>
      <w:r>
        <w:rPr>
          <w:b/>
          <w:sz w:val="24"/>
          <w:highlight w:val="none"/>
        </w:rPr>
        <w:t xml:space="preserve">封面（非实质性格式）</w:t>
      </w:r>
      <w:r>
        <w:rPr>
          <w:b/>
          <w:sz w:val="24"/>
          <w:highlight w:val="none"/>
        </w:rPr>
      </w:r>
      <w:r/>
    </w:p>
    <w:p>
      <w:pPr>
        <w:pStyle w:val="825"/>
        <w:jc w:val="center"/>
        <w:rPr>
          <w:szCs w:val="21"/>
          <w:highlight w:val="none"/>
        </w:rPr>
      </w:pPr>
      <w:r>
        <w:rPr>
          <w:szCs w:val="21"/>
          <w:highlight w:val="none"/>
        </w:rPr>
      </w:r>
      <w:r/>
    </w:p>
    <w:p>
      <w:pPr>
        <w:pStyle w:val="825"/>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825"/>
        <w:ind w:firstLine="963"/>
        <w:rPr>
          <w:rFonts w:hint="eastAsia"/>
          <w:b/>
          <w:spacing w:val="60"/>
          <w:sz w:val="52"/>
          <w:szCs w:val="52"/>
          <w:highlight w:val="none"/>
        </w:rPr>
      </w:pPr>
      <w:r>
        <w:rPr>
          <w:rFonts w:hint="eastAsia"/>
          <w:b/>
          <w:spacing w:val="60"/>
          <w:sz w:val="52"/>
          <w:szCs w:val="52"/>
          <w:highlight w:val="none"/>
        </w:rPr>
      </w:r>
      <w:r/>
    </w:p>
    <w:p>
      <w:pPr>
        <w:pStyle w:val="825"/>
        <w:ind w:firstLine="963"/>
        <w:rPr>
          <w:rFonts w:hint="eastAsia"/>
          <w:b/>
          <w:spacing w:val="60"/>
          <w:sz w:val="52"/>
          <w:szCs w:val="52"/>
          <w:highlight w:val="none"/>
        </w:rPr>
      </w:pPr>
      <w:r>
        <w:rPr>
          <w:rFonts w:hint="eastAsia"/>
          <w:b/>
          <w:spacing w:val="60"/>
          <w:sz w:val="52"/>
          <w:szCs w:val="52"/>
          <w:highlight w:val="none"/>
        </w:rPr>
      </w:r>
      <w:r/>
    </w:p>
    <w:p>
      <w:pPr>
        <w:pStyle w:val="825"/>
        <w:ind w:firstLine="542"/>
        <w:rPr>
          <w:b/>
          <w:spacing w:val="20"/>
          <w:sz w:val="32"/>
          <w:szCs w:val="32"/>
          <w:highlight w:val="none"/>
        </w:rPr>
      </w:pPr>
      <w:r>
        <w:rPr>
          <w:b/>
          <w:spacing w:val="20"/>
          <w:sz w:val="32"/>
          <w:szCs w:val="32"/>
          <w:highlight w:val="none"/>
        </w:rPr>
      </w:r>
      <w:r/>
    </w:p>
    <w:p>
      <w:pPr>
        <w:pStyle w:val="825"/>
        <w:ind w:firstLine="542"/>
        <w:rPr>
          <w:b/>
          <w:spacing w:val="20"/>
          <w:sz w:val="32"/>
          <w:szCs w:val="32"/>
          <w:highlight w:val="none"/>
        </w:rPr>
      </w:pPr>
      <w:r>
        <w:rPr>
          <w:b/>
          <w:spacing w:val="20"/>
          <w:sz w:val="32"/>
          <w:szCs w:val="32"/>
          <w:highlight w:val="none"/>
        </w:rPr>
      </w:r>
      <w:r/>
    </w:p>
    <w:p>
      <w:pPr>
        <w:pStyle w:val="825"/>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825"/>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825"/>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825"/>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825"/>
        <w:jc w:val="center"/>
        <w:rPr>
          <w:b/>
          <w:sz w:val="32"/>
          <w:szCs w:val="32"/>
          <w:highlight w:val="none"/>
        </w:rPr>
      </w:pPr>
      <w:r>
        <w:rPr>
          <w:b/>
          <w:sz w:val="32"/>
          <w:szCs w:val="32"/>
          <w:highlight w:val="none"/>
        </w:rPr>
      </w:r>
      <w:r/>
    </w:p>
    <w:p>
      <w:pPr>
        <w:pStyle w:val="825"/>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825"/>
        <w:rPr>
          <w:b/>
          <w:highlight w:val="none"/>
        </w:rPr>
      </w:pPr>
      <w:r>
        <w:rPr>
          <w:b/>
          <w:highlight w:val="none"/>
        </w:rPr>
      </w:r>
      <w:r/>
    </w:p>
    <w:p>
      <w:pPr>
        <w:pStyle w:val="825"/>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828"/>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825"/>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825"/>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839"/>
        <w:ind w:firstLine="480"/>
        <w:spacing w:line="460" w:lineRule="exact"/>
        <w:rPr>
          <w:highlight w:val="none"/>
        </w:rPr>
      </w:pPr>
      <w:r>
        <w:rPr>
          <w:highlight w:val="none"/>
        </w:rPr>
      </w:r>
      <w:r/>
    </w:p>
    <w:p>
      <w:pPr>
        <w:pStyle w:val="839"/>
        <w:ind w:firstLine="480"/>
        <w:spacing w:line="460" w:lineRule="exact"/>
        <w:rPr>
          <w:highlight w:val="none"/>
        </w:rPr>
      </w:pPr>
      <w:r>
        <w:rPr>
          <w:rFonts w:hint="eastAsia"/>
          <w:highlight w:val="none"/>
        </w:rPr>
        <w:t xml:space="preserve">致：常州承宇工程顾问有限公司</w:t>
      </w:r>
      <w:r>
        <w:rPr>
          <w:highlight w:val="none"/>
        </w:rPr>
      </w:r>
      <w:r/>
    </w:p>
    <w:p>
      <w:pPr>
        <w:pStyle w:val="839"/>
        <w:ind w:firstLine="960"/>
        <w:spacing w:line="460" w:lineRule="exact"/>
        <w:rPr>
          <w:highlight w:val="none"/>
          <w:u w:val="single"/>
        </w:rPr>
      </w:pPr>
      <w:r>
        <w:rPr>
          <w:rFonts w:hint="eastAsia"/>
          <w:highlight w:val="none"/>
          <w:u w:val="single"/>
        </w:rPr>
        <w:t xml:space="preserve">（采购人名称）</w:t>
      </w:r>
      <w:r>
        <w:rPr>
          <w:highlight w:val="none"/>
          <w:u w:val="single"/>
        </w:rPr>
      </w:r>
      <w:r/>
    </w:p>
    <w:p>
      <w:pPr>
        <w:pStyle w:val="839"/>
        <w:ind w:firstLine="480"/>
        <w:spacing w:line="460" w:lineRule="exact"/>
        <w:rPr>
          <w:highlight w:val="none"/>
        </w:rPr>
      </w:pPr>
      <w:r>
        <w:rPr>
          <w:highlight w:val="none"/>
        </w:rPr>
      </w:r>
      <w:r/>
    </w:p>
    <w:p>
      <w:pPr>
        <w:pStyle w:val="839"/>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839"/>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839"/>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839"/>
        <w:ind w:firstLine="480"/>
        <w:spacing w:line="460" w:lineRule="exact"/>
        <w:rPr>
          <w:highlight w:val="none"/>
        </w:rPr>
      </w:pPr>
      <w:r>
        <w:rPr>
          <w:rFonts w:hint="eastAsia"/>
          <w:highlight w:val="none"/>
        </w:rPr>
        <w:t xml:space="preserve">三、我单位依法进行纳税和社会保险申报并实际履行了义务。</w:t>
      </w:r>
      <w:r>
        <w:rPr>
          <w:highlight w:val="none"/>
        </w:rPr>
      </w:r>
      <w:r/>
    </w:p>
    <w:p>
      <w:pPr>
        <w:pStyle w:val="839"/>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839"/>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839"/>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839"/>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839"/>
        <w:ind w:firstLine="480"/>
        <w:spacing w:line="460" w:lineRule="exact"/>
        <w:rPr>
          <w:highlight w:val="none"/>
        </w:rPr>
      </w:pPr>
      <w:r>
        <w:rPr>
          <w:rFonts w:hint="eastAsia"/>
          <w:highlight w:val="none"/>
        </w:rPr>
        <w:t xml:space="preserve">六、我单位具备法律、行政法规规定的其他条件。</w:t>
      </w:r>
      <w:r>
        <w:rPr>
          <w:highlight w:val="none"/>
        </w:rPr>
      </w:r>
      <w:r/>
    </w:p>
    <w:p>
      <w:pPr>
        <w:pStyle w:val="839"/>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839"/>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839"/>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839"/>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839"/>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839"/>
        <w:ind w:firstLine="480"/>
        <w:spacing w:line="46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839"/>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839"/>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839"/>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839"/>
        <w:ind w:firstLine="480"/>
        <w:spacing w:line="460" w:lineRule="exact"/>
        <w:rPr>
          <w:highlight w:val="none"/>
        </w:rPr>
      </w:pPr>
      <w:r>
        <w:rPr>
          <w:highlight w:val="none"/>
        </w:rPr>
      </w:r>
      <w:r/>
    </w:p>
    <w:p>
      <w:pPr>
        <w:pStyle w:val="839"/>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839"/>
        <w:ind w:firstLine="480"/>
        <w:spacing w:line="460" w:lineRule="exact"/>
        <w:rPr>
          <w:highlight w:val="none"/>
        </w:rPr>
      </w:pPr>
      <w:r>
        <w:rPr>
          <w:highlight w:val="none"/>
        </w:rPr>
      </w:r>
      <w:r/>
    </w:p>
    <w:p>
      <w:pPr>
        <w:pStyle w:val="839"/>
        <w:ind w:firstLine="480"/>
        <w:spacing w:line="460" w:lineRule="exact"/>
        <w:rPr>
          <w:highlight w:val="none"/>
        </w:rPr>
      </w:pPr>
      <w:r>
        <w:rPr>
          <w:highlight w:val="none"/>
        </w:rPr>
      </w:r>
      <w:r/>
    </w:p>
    <w:p>
      <w:pPr>
        <w:pStyle w:val="839"/>
        <w:ind w:firstLine="480"/>
        <w:spacing w:line="460" w:lineRule="exact"/>
        <w:rPr>
          <w:highlight w:val="none"/>
        </w:rPr>
      </w:pPr>
      <w:r>
        <w:rPr>
          <w:rFonts w:hint="eastAsia"/>
          <w:highlight w:val="none"/>
        </w:rPr>
        <w:t xml:space="preserve">                                            投标人：（加盖公章）</w:t>
      </w:r>
      <w:r>
        <w:rPr>
          <w:highlight w:val="none"/>
        </w:rPr>
      </w:r>
      <w:r/>
    </w:p>
    <w:p>
      <w:pPr>
        <w:pStyle w:val="839"/>
        <w:ind w:firstLine="480"/>
        <w:spacing w:line="460" w:lineRule="exact"/>
        <w:rPr>
          <w:highlight w:val="none"/>
        </w:rPr>
      </w:pPr>
      <w:r>
        <w:rPr>
          <w:rFonts w:hint="eastAsia"/>
          <w:highlight w:val="none"/>
        </w:rPr>
        <w:t xml:space="preserve">                                           法定代表人（或单位负责人）签字或盖章：</w:t>
      </w:r>
      <w:r>
        <w:rPr>
          <w:highlight w:val="none"/>
        </w:rPr>
      </w:r>
      <w:r/>
    </w:p>
    <w:p>
      <w:pPr>
        <w:pStyle w:val="839"/>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825"/>
        <w:spacing w:line="360" w:lineRule="auto"/>
        <w:rPr>
          <w:rFonts w:hint="eastAsia"/>
          <w:sz w:val="24"/>
          <w:highlight w:val="none"/>
        </w:rPr>
      </w:pPr>
      <w:r>
        <w:rPr>
          <w:rFonts w:hint="eastAsia"/>
          <w:sz w:val="24"/>
          <w:highlight w:val="none"/>
        </w:rPr>
      </w:r>
      <w:r/>
    </w:p>
    <w:p>
      <w:pPr>
        <w:pStyle w:val="825"/>
        <w:spacing w:line="360" w:lineRule="auto"/>
        <w:rPr>
          <w:rFonts w:hint="eastAsia"/>
          <w:sz w:val="24"/>
          <w:highlight w:val="none"/>
        </w:rPr>
      </w:pPr>
      <w:r>
        <w:rPr>
          <w:rFonts w:hint="eastAsia"/>
          <w:sz w:val="24"/>
          <w:highlight w:val="none"/>
        </w:rPr>
      </w:r>
      <w:r/>
    </w:p>
    <w:p>
      <w:pPr>
        <w:pStyle w:val="825"/>
        <w:spacing w:line="360" w:lineRule="auto"/>
        <w:rPr>
          <w:rFonts w:hint="eastAsia"/>
          <w:sz w:val="24"/>
          <w:highlight w:val="none"/>
        </w:rPr>
      </w:pPr>
      <w:r>
        <w:rPr>
          <w:rFonts w:hint="eastAsia"/>
          <w:sz w:val="24"/>
          <w:highlight w:val="none"/>
        </w:rPr>
      </w:r>
      <w:r/>
    </w:p>
    <w:p>
      <w:pPr>
        <w:pStyle w:val="825"/>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825"/>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pStyle w:val="825"/>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825"/>
        <w:spacing w:line="360" w:lineRule="auto"/>
        <w:rPr>
          <w:color w:val="000000"/>
          <w:sz w:val="24"/>
          <w:szCs w:val="20"/>
          <w:highlight w:val="none"/>
        </w:rPr>
        <w:outlineLvl w:val="2"/>
      </w:pPr>
      <w:r>
        <w:rPr>
          <w:color w:val="000000"/>
          <w:sz w:val="24"/>
          <w:szCs w:val="20"/>
          <w:highlight w:val="none"/>
        </w:rPr>
        <w:t xml:space="preserve">2-1中小企业声明函</w:t>
      </w:r>
      <w:r>
        <w:rPr>
          <w:color w:val="000000"/>
          <w:sz w:val="24"/>
          <w:szCs w:val="20"/>
          <w:highlight w:val="none"/>
        </w:rPr>
      </w:r>
      <w:r/>
    </w:p>
    <w:p>
      <w:pPr>
        <w:pStyle w:val="825"/>
        <w:spacing w:line="360" w:lineRule="auto"/>
        <w:tabs>
          <w:tab w:val="left" w:pos="5580" w:leader="none"/>
        </w:tabs>
        <w:rPr>
          <w:sz w:val="24"/>
          <w:highlight w:val="none"/>
        </w:rPr>
      </w:pPr>
      <w:r>
        <w:rPr>
          <w:sz w:val="24"/>
          <w:highlight w:val="none"/>
        </w:rPr>
      </w:r>
      <w:r/>
    </w:p>
    <w:p>
      <w:pPr>
        <w:pStyle w:val="825"/>
        <w:spacing w:line="360" w:lineRule="auto"/>
        <w:tabs>
          <w:tab w:val="left" w:pos="5580" w:leader="none"/>
        </w:tabs>
        <w:rPr>
          <w:sz w:val="24"/>
          <w:highlight w:val="none"/>
        </w:rPr>
      </w:pPr>
      <w:r>
        <w:rPr>
          <w:sz w:val="24"/>
          <w:highlight w:val="none"/>
        </w:rPr>
        <w:t xml:space="preserve">说明：</w:t>
      </w:r>
      <w:r>
        <w:rPr>
          <w:sz w:val="24"/>
          <w:highlight w:val="none"/>
        </w:rPr>
      </w:r>
      <w:r/>
    </w:p>
    <w:p>
      <w:pPr>
        <w:pStyle w:val="825"/>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rPr>
          <w:sz w:val="24"/>
          <w:highlight w:val="none"/>
        </w:rPr>
      </w:r>
      <w:r/>
    </w:p>
    <w:p>
      <w:pPr>
        <w:pStyle w:val="825"/>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color w:val="000000"/>
          <w:sz w:val="24"/>
          <w:szCs w:val="20"/>
          <w:highlight w:val="none"/>
        </w:rPr>
        <w:t xml:space="preserve">（实质性格式）</w:t>
      </w:r>
      <w:r>
        <w:rPr>
          <w:sz w:val="24"/>
          <w:highlight w:val="none"/>
        </w:rPr>
        <w:t xml:space="preserve">。</w:t>
      </w:r>
      <w:r>
        <w:rPr>
          <w:sz w:val="24"/>
          <w:highlight w:val="none"/>
        </w:rPr>
      </w:r>
      <w:r/>
    </w:p>
    <w:p>
      <w:pPr>
        <w:pStyle w:val="825"/>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highlight w:val="none"/>
        </w:rPr>
      </w:r>
      <w:r/>
    </w:p>
    <w:p>
      <w:pPr>
        <w:pStyle w:val="825"/>
        <w:spacing w:line="360" w:lineRule="auto"/>
        <w:tabs>
          <w:tab w:val="left" w:pos="5580" w:leader="none"/>
        </w:tabs>
        <w:rPr>
          <w:sz w:val="24"/>
          <w:highlight w:val="none"/>
        </w:rPr>
      </w:pPr>
      <w:r>
        <w:rPr>
          <w:rFonts w:hint="eastAsia"/>
          <w:sz w:val="24"/>
          <w:highlight w:val="none"/>
        </w:rPr>
        <w:t xml:space="preserve">（4）其他</w:t>
      </w:r>
      <w:r>
        <w:rPr>
          <w:sz w:val="24"/>
          <w:highlight w:val="none"/>
        </w:rPr>
      </w:r>
      <w:r/>
    </w:p>
    <w:p>
      <w:pPr>
        <w:pStyle w:val="825"/>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rPr>
          <w:sz w:val="24"/>
          <w:highlight w:val="none"/>
        </w:rPr>
      </w:r>
      <w:r/>
    </w:p>
    <w:p>
      <w:pPr>
        <w:pStyle w:val="825"/>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825"/>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rPr>
          <w:sz w:val="24"/>
          <w:highlight w:val="none"/>
        </w:rPr>
      </w:r>
      <w:r/>
    </w:p>
    <w:p>
      <w:pPr>
        <w:pStyle w:val="825"/>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highlight w:val="none"/>
        </w:rPr>
      </w:r>
      <w:r/>
    </w:p>
    <w:p>
      <w:pPr>
        <w:pStyle w:val="825"/>
        <w:spacing w:line="360" w:lineRule="auto"/>
        <w:tabs>
          <w:tab w:val="left" w:pos="5580" w:leader="none"/>
        </w:tabs>
        <w:rPr>
          <w:sz w:val="24"/>
          <w:highlight w:val="none"/>
        </w:rPr>
      </w:pPr>
      <w:r>
        <w:rPr>
          <w:sz w:val="24"/>
          <w:highlight w:val="none"/>
        </w:rPr>
      </w:r>
      <w:r/>
    </w:p>
    <w:p>
      <w:pPr>
        <w:pStyle w:val="825"/>
        <w:jc w:val="left"/>
        <w:widowControl/>
        <w:rPr>
          <w:color w:val="000000"/>
          <w:sz w:val="24"/>
          <w:highlight w:val="none"/>
        </w:rPr>
      </w:pPr>
      <w:r>
        <w:rPr>
          <w:color w:val="000000"/>
          <w:sz w:val="24"/>
          <w:highlight w:val="none"/>
        </w:rPr>
      </w:r>
      <w:r/>
    </w:p>
    <w:p>
      <w:pPr>
        <w:pStyle w:val="825"/>
        <w:jc w:val="center"/>
        <w:spacing w:before="240" w:after="240" w:line="360" w:lineRule="auto"/>
        <w:rPr>
          <w:b/>
          <w:bCs/>
          <w:color w:val="000000"/>
          <w:sz w:val="36"/>
          <w:szCs w:val="36"/>
          <w:highlight w:val="none"/>
        </w:rPr>
      </w:pPr>
      <w:r>
        <w:rPr>
          <w:color w:val="000000"/>
          <w:sz w:val="24"/>
          <w:highlight w:val="none"/>
        </w:rPr>
        <w:br w:type="page" w:clear="all"/>
      </w:r>
      <w:r>
        <w:rPr>
          <w:rFonts w:hint="eastAsia"/>
          <w:b/>
          <w:bCs/>
          <w:color w:val="000000"/>
          <w:sz w:val="36"/>
          <w:szCs w:val="36"/>
          <w:highlight w:val="none"/>
        </w:rPr>
        <w:t xml:space="preserve">中小企业声明函（工程、服务）格式</w:t>
      </w:r>
      <w:r>
        <w:rPr>
          <w:b/>
          <w:bCs/>
          <w:color w:val="000000"/>
          <w:sz w:val="36"/>
          <w:szCs w:val="36"/>
          <w:highlight w:val="none"/>
        </w:rPr>
      </w:r>
      <w:r/>
    </w:p>
    <w:p>
      <w:pPr>
        <w:pStyle w:val="825"/>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highlight w:val="none"/>
        </w:rPr>
      </w:r>
      <w:r/>
    </w:p>
    <w:p>
      <w:pPr>
        <w:pStyle w:val="825"/>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825"/>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825"/>
        <w:ind w:firstLine="504"/>
        <w:spacing w:line="360" w:lineRule="auto"/>
        <w:rPr>
          <w:spacing w:val="6"/>
          <w:sz w:val="24"/>
          <w:highlight w:val="none"/>
        </w:rPr>
      </w:pPr>
      <w:r>
        <w:rPr>
          <w:spacing w:val="6"/>
          <w:sz w:val="24"/>
          <w:highlight w:val="none"/>
        </w:rPr>
      </w:r>
      <w:r/>
    </w:p>
    <w:p>
      <w:pPr>
        <w:pStyle w:val="825"/>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825"/>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825"/>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825"/>
        <w:ind w:right="360" w:firstLine="480"/>
        <w:jc w:val="right"/>
        <w:spacing w:line="360" w:lineRule="auto"/>
        <w:rPr>
          <w:color w:val="000000"/>
          <w:sz w:val="24"/>
          <w:highlight w:val="none"/>
        </w:rPr>
      </w:pPr>
      <w:r>
        <w:rPr>
          <w:color w:val="000000"/>
          <w:sz w:val="24"/>
          <w:highlight w:val="none"/>
        </w:rPr>
      </w:r>
      <w:r/>
    </w:p>
    <w:p>
      <w:pPr>
        <w:pStyle w:val="825"/>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825"/>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25"/>
        <w:jc w:val="left"/>
        <w:rPr>
          <w:color w:val="000000"/>
          <w:sz w:val="24"/>
          <w:szCs w:val="21"/>
          <w:highlight w:val="none"/>
        </w:rPr>
      </w:pPr>
      <w:r>
        <w:rPr>
          <w:color w:val="000000"/>
          <w:sz w:val="24"/>
          <w:szCs w:val="21"/>
          <w:highlight w:val="none"/>
        </w:rPr>
      </w:r>
      <w:r/>
    </w:p>
    <w:p>
      <w:pPr>
        <w:pStyle w:val="825"/>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25"/>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25"/>
        <w:jc w:val="left"/>
        <w:rPr>
          <w:color w:val="000000"/>
          <w:szCs w:val="21"/>
          <w:highlight w:val="none"/>
          <w:vertAlign w:val="superscript"/>
        </w:rPr>
      </w:pPr>
      <w:r>
        <w:rPr>
          <w:color w:val="000000"/>
          <w:szCs w:val="21"/>
          <w:highlight w:val="none"/>
          <w:vertAlign w:val="superscript"/>
        </w:rPr>
      </w:r>
      <w:r/>
    </w:p>
    <w:p>
      <w:pPr>
        <w:pStyle w:val="825"/>
        <w:ind w:right="360" w:firstLine="480"/>
        <w:jc w:val="right"/>
        <w:spacing w:line="360" w:lineRule="auto"/>
        <w:rPr>
          <w:color w:val="000000"/>
          <w:sz w:val="24"/>
          <w:highlight w:val="none"/>
        </w:rPr>
      </w:pPr>
      <w:r>
        <w:rPr>
          <w:color w:val="000000"/>
          <w:sz w:val="24"/>
          <w:highlight w:val="none"/>
        </w:rPr>
      </w:r>
      <w:r/>
    </w:p>
    <w:p>
      <w:pPr>
        <w:pStyle w:val="825"/>
        <w:ind w:right="360" w:firstLine="480"/>
        <w:jc w:val="right"/>
        <w:spacing w:line="360" w:lineRule="auto"/>
        <w:rPr>
          <w:color w:val="000000"/>
          <w:sz w:val="24"/>
          <w:highlight w:val="none"/>
        </w:rPr>
      </w:pPr>
      <w:r>
        <w:rPr>
          <w:color w:val="000000"/>
          <w:sz w:val="24"/>
          <w:highlight w:val="none"/>
        </w:rPr>
      </w:r>
      <w:r/>
    </w:p>
    <w:p>
      <w:pPr>
        <w:pStyle w:val="825"/>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825"/>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825"/>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825"/>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825"/>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825"/>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825"/>
        <w:ind w:firstLine="504"/>
        <w:spacing w:line="588" w:lineRule="exact"/>
        <w:rPr>
          <w:spacing w:val="6"/>
          <w:sz w:val="24"/>
          <w:highlight w:val="none"/>
        </w:rPr>
      </w:pPr>
      <w:r>
        <w:rPr>
          <w:spacing w:val="6"/>
          <w:sz w:val="24"/>
          <w:highlight w:val="none"/>
        </w:rPr>
      </w:r>
      <w:r/>
    </w:p>
    <w:p>
      <w:pPr>
        <w:pStyle w:val="825"/>
        <w:ind w:firstLine="504"/>
        <w:spacing w:line="588" w:lineRule="exact"/>
        <w:rPr>
          <w:spacing w:val="6"/>
          <w:sz w:val="24"/>
          <w:highlight w:val="none"/>
        </w:rPr>
      </w:pPr>
      <w:r>
        <w:rPr>
          <w:spacing w:val="6"/>
          <w:sz w:val="24"/>
          <w:highlight w:val="none"/>
        </w:rPr>
      </w:r>
      <w:r/>
    </w:p>
    <w:p>
      <w:pPr>
        <w:pStyle w:val="825"/>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rPr>
          <w:spacing w:val="6"/>
          <w:sz w:val="24"/>
          <w:highlight w:val="none"/>
        </w:rPr>
      </w:r>
      <w:r/>
    </w:p>
    <w:p>
      <w:pPr>
        <w:pStyle w:val="825"/>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rPr>
          <w:rFonts w:hint="eastAsia"/>
          <w:spacing w:val="6"/>
          <w:sz w:val="24"/>
          <w:highlight w:val="none"/>
        </w:rPr>
      </w:r>
      <w:r/>
    </w:p>
    <w:p>
      <w:pPr>
        <w:pStyle w:val="825"/>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825"/>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825"/>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825"/>
        <w:ind w:right="1560" w:firstLine="504"/>
        <w:jc w:val="center"/>
        <w:spacing w:line="588" w:lineRule="exact"/>
        <w:tabs>
          <w:tab w:val="left" w:pos="4860" w:leader="none"/>
        </w:tabs>
        <w:rPr>
          <w:spacing w:val="6"/>
          <w:sz w:val="24"/>
          <w:highlight w:val="none"/>
        </w:rPr>
      </w:pPr>
      <w:r>
        <w:rPr>
          <w:spacing w:val="6"/>
          <w:sz w:val="24"/>
          <w:highlight w:val="none"/>
        </w:rPr>
      </w:r>
      <w:r/>
    </w:p>
    <w:p>
      <w:pPr>
        <w:pStyle w:val="825"/>
        <w:jc w:val="left"/>
        <w:widowControl/>
        <w:rPr>
          <w:sz w:val="24"/>
          <w:highlight w:val="none"/>
        </w:rPr>
      </w:pPr>
      <w:r>
        <w:rPr>
          <w:sz w:val="24"/>
          <w:highlight w:val="none"/>
        </w:rPr>
      </w:r>
      <w:r/>
    </w:p>
    <w:p>
      <w:pPr>
        <w:pStyle w:val="825"/>
        <w:jc w:val="left"/>
        <w:widowControl/>
        <w:rPr>
          <w:sz w:val="24"/>
          <w:highlight w:val="none"/>
        </w:rPr>
      </w:pPr>
      <w:r>
        <w:rPr>
          <w:sz w:val="24"/>
          <w:highlight w:val="none"/>
        </w:rPr>
        <w:br w:type="page" w:clear="all"/>
      </w:r>
      <w:r>
        <w:rPr>
          <w:color w:val="000000"/>
          <w:sz w:val="24"/>
          <w:szCs w:val="20"/>
          <w:highlight w:val="none"/>
        </w:rPr>
        <w:t xml:space="preserve">3 </w:t>
      </w:r>
      <w:r>
        <w:rPr>
          <w:sz w:val="24"/>
          <w:highlight w:val="none"/>
        </w:rPr>
        <w:t xml:space="preserve">本项目的特定资格要求</w:t>
      </w:r>
      <w:r>
        <w:rPr>
          <w:sz w:val="24"/>
          <w:highlight w:val="none"/>
        </w:rPr>
      </w:r>
      <w:r/>
    </w:p>
    <w:p>
      <w:pPr>
        <w:pStyle w:val="825"/>
        <w:spacing w:line="360" w:lineRule="auto"/>
        <w:rPr>
          <w:rFonts w:hint="eastAsia" w:eastAsia="宋体"/>
          <w:sz w:val="24"/>
          <w:szCs w:val="20"/>
          <w:highlight w:val="none"/>
          <w:lang w:eastAsia="zh-CN"/>
        </w:rPr>
      </w:pPr>
      <w:r>
        <w:rPr>
          <w:color w:val="000000"/>
          <w:sz w:val="24"/>
          <w:szCs w:val="20"/>
          <w:highlight w:val="none"/>
        </w:rPr>
        <w:t xml:space="preserve">3-</w:t>
      </w:r>
      <w:r>
        <w:rPr>
          <w:rFonts w:hint="eastAsia"/>
          <w:color w:val="000000"/>
          <w:sz w:val="24"/>
          <w:szCs w:val="20"/>
          <w:highlight w:val="none"/>
          <w:lang w:val="en-US" w:eastAsia="zh-CN"/>
        </w:rPr>
        <w:t xml:space="preserve">1</w:t>
      </w:r>
      <w:r>
        <w:rPr>
          <w:color w:val="000000"/>
          <w:sz w:val="24"/>
          <w:szCs w:val="20"/>
          <w:highlight w:val="none"/>
        </w:rPr>
        <w:t xml:space="preserve">其他</w:t>
      </w:r>
      <w:r>
        <w:rPr>
          <w:sz w:val="24"/>
          <w:szCs w:val="20"/>
          <w:highlight w:val="none"/>
        </w:rPr>
        <w:t xml:space="preserve">特定资格要求</w:t>
      </w:r>
      <w:r>
        <w:rPr>
          <w:rFonts w:hint="eastAsia"/>
          <w:sz w:val="24"/>
          <w:szCs w:val="20"/>
          <w:highlight w:val="none"/>
          <w:lang w:eastAsia="zh-CN"/>
        </w:rPr>
        <w:t xml:space="preserve">：</w:t>
      </w:r>
      <w:r>
        <w:rPr>
          <w:rFonts w:ascii="Times New Roman" w:hAnsi="Times New Roman" w:eastAsia="宋体" w:cs="Times New Roman"/>
          <w:sz w:val="24"/>
          <w:szCs w:val="20"/>
          <w:highlight w:val="none"/>
        </w:rPr>
        <w:t xml:space="preserve">见第一章《投标邀请》</w:t>
      </w:r>
      <w:r>
        <w:rPr>
          <w:rFonts w:hint="eastAsia" w:eastAsia="宋体"/>
          <w:sz w:val="24"/>
          <w:szCs w:val="20"/>
          <w:highlight w:val="none"/>
          <w:lang w:eastAsia="zh-CN"/>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ind w:left="719" w:hanging="240"/>
        <w:spacing w:line="360" w:lineRule="auto"/>
        <w:rPr>
          <w:rFonts w:hint="eastAsia"/>
          <w:sz w:val="24"/>
          <w:szCs w:val="20"/>
          <w:highlight w:val="none"/>
        </w:rPr>
      </w:pPr>
      <w:r>
        <w:rPr>
          <w:rFonts w:hint="eastAsia"/>
          <w:sz w:val="24"/>
          <w:szCs w:val="20"/>
          <w:highlight w:val="none"/>
        </w:rPr>
      </w:r>
      <w:r/>
    </w:p>
    <w:p>
      <w:pPr>
        <w:pStyle w:val="825"/>
        <w:jc w:val="left"/>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10" w:name="_Toc142311058"/>
      <w:r/>
      <w:bookmarkStart w:id="811" w:name="_Toc226965746"/>
      <w:r/>
      <w:bookmarkStart w:id="812" w:name="_Toc226965829"/>
      <w:r/>
      <w:bookmarkStart w:id="813" w:name="_Toc150774761"/>
      <w:r/>
      <w:bookmarkStart w:id="814" w:name="_Toc195842921"/>
      <w:r/>
      <w:bookmarkStart w:id="815" w:name="_Ref467988698"/>
      <w:r/>
      <w:bookmarkStart w:id="816" w:name="_Toc226309800"/>
      <w:r/>
      <w:bookmarkStart w:id="817" w:name="_Toc127151556"/>
      <w:r/>
      <w:bookmarkStart w:id="818" w:name="_Toc226337252"/>
      <w:r/>
      <w:bookmarkStart w:id="819" w:name="_Toc150480794"/>
      <w:r/>
      <w:bookmarkStart w:id="820" w:name="_Toc520356217"/>
      <w:r/>
      <w:bookmarkStart w:id="821" w:name="_Toc480942349"/>
      <w:r>
        <w:rPr>
          <w:rFonts w:hint="eastAsia" w:ascii="宋体" w:hAnsi="宋体"/>
          <w:b/>
          <w:sz w:val="32"/>
          <w:szCs w:val="32"/>
          <w:highlight w:val="none"/>
        </w:rPr>
      </w:r>
      <w:r/>
    </w:p>
    <w:p>
      <w:pPr>
        <w:pStyle w:val="825"/>
        <w:jc w:val="center"/>
        <w:widowControl/>
        <w:rPr>
          <w:rFonts w:hint="eastAsia" w:ascii="宋体" w:hAnsi="宋体"/>
          <w:b/>
          <w:sz w:val="32"/>
          <w:szCs w:val="32"/>
          <w:highlight w:val="none"/>
        </w:rPr>
      </w:pPr>
      <w:r>
        <w:rPr>
          <w:rFonts w:hint="eastAsia" w:ascii="宋体" w:hAnsi="宋体"/>
          <w:b/>
          <w:sz w:val="32"/>
          <w:szCs w:val="32"/>
          <w:highlight w:val="none"/>
        </w:rPr>
      </w:r>
      <w:r/>
    </w:p>
    <w:p>
      <w:pPr>
        <w:pStyle w:val="825"/>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825"/>
        <w:spacing w:line="360" w:lineRule="auto"/>
        <w:tabs>
          <w:tab w:val="left" w:pos="5580" w:leader="none"/>
        </w:tabs>
        <w:rPr>
          <w:color w:val="000000"/>
          <w:sz w:val="24"/>
          <w:highlight w:val="none"/>
        </w:rPr>
      </w:pPr>
      <w:r>
        <w:rPr>
          <w:color w:val="000000"/>
          <w:sz w:val="24"/>
          <w:highlight w:val="none"/>
        </w:rPr>
      </w:r>
      <w:r/>
    </w:p>
    <w:p>
      <w:pPr>
        <w:pStyle w:val="825"/>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825"/>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825"/>
        <w:spacing w:line="360" w:lineRule="auto"/>
        <w:tabs>
          <w:tab w:val="left" w:pos="5580" w:leader="none"/>
        </w:tabs>
        <w:rPr>
          <w:color w:val="000000"/>
          <w:sz w:val="24"/>
          <w:szCs w:val="20"/>
          <w:highlight w:val="none"/>
        </w:rPr>
      </w:pPr>
      <w:r>
        <w:rPr>
          <w:color w:val="000000"/>
          <w:sz w:val="24"/>
          <w:szCs w:val="20"/>
          <w:highlight w:val="none"/>
        </w:rPr>
      </w:r>
      <w:r/>
    </w:p>
    <w:p>
      <w:pPr>
        <w:pStyle w:val="825"/>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rPr>
          <w:color w:val="000000"/>
          <w:sz w:val="24"/>
          <w:szCs w:val="20"/>
          <w:highlight w:val="none"/>
        </w:rPr>
      </w:r>
      <w:r/>
    </w:p>
    <w:p>
      <w:pPr>
        <w:pStyle w:val="825"/>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825"/>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825"/>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825"/>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825"/>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825"/>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825"/>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825"/>
        <w:ind w:left="420"/>
        <w:spacing w:line="360" w:lineRule="auto"/>
        <w:tabs>
          <w:tab w:val="left" w:pos="5580" w:leader="none"/>
        </w:tabs>
        <w:rPr>
          <w:color w:val="000000"/>
          <w:sz w:val="24"/>
          <w:szCs w:val="20"/>
          <w:highlight w:val="none"/>
        </w:rPr>
      </w:pPr>
      <w:r>
        <w:rPr>
          <w:color w:val="000000"/>
          <w:sz w:val="24"/>
          <w:szCs w:val="20"/>
          <w:highlight w:val="none"/>
        </w:rPr>
      </w:r>
      <w:r/>
    </w:p>
    <w:p>
      <w:pPr>
        <w:pStyle w:val="825"/>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825"/>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825"/>
        <w:ind w:left="420"/>
        <w:spacing w:line="360" w:lineRule="auto"/>
        <w:tabs>
          <w:tab w:val="left" w:pos="5580" w:leader="none"/>
        </w:tabs>
        <w:rPr>
          <w:color w:val="000000"/>
          <w:sz w:val="24"/>
          <w:szCs w:val="20"/>
          <w:highlight w:val="none"/>
        </w:rPr>
      </w:pPr>
      <w:r>
        <w:rPr>
          <w:color w:val="000000"/>
          <w:sz w:val="24"/>
          <w:szCs w:val="20"/>
          <w:highlight w:val="none"/>
        </w:rPr>
      </w:r>
      <w:r/>
    </w:p>
    <w:p>
      <w:pPr>
        <w:pStyle w:val="825"/>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825"/>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825"/>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825"/>
        <w:jc w:val="left"/>
        <w:widowControl/>
        <w:rPr>
          <w:rFonts w:hint="eastAsia"/>
          <w:color w:val="000000"/>
          <w:sz w:val="24"/>
          <w:highlight w:val="none"/>
        </w:rPr>
      </w:pPr>
      <w:r/>
      <w:bookmarkStart w:id="822" w:name="_Hlt520356243"/>
      <w:r/>
      <w:bookmarkEnd w:id="822"/>
      <w:r/>
      <w:bookmarkStart w:id="823" w:name="_Hlt520355938"/>
      <w:r/>
      <w:bookmarkEnd w:id="823"/>
      <w:r>
        <w:rPr>
          <w:color w:val="000000"/>
          <w:sz w:val="24"/>
          <w:highlight w:val="none"/>
        </w:rPr>
        <w:br w:type="page" w:clear="all"/>
      </w:r>
      <w:r>
        <w:rPr>
          <w:rFonts w:hint="eastAsia"/>
          <w:color w:val="000000"/>
          <w:sz w:val="24"/>
          <w:highlight w:val="none"/>
        </w:rPr>
      </w:r>
      <w:r/>
    </w:p>
    <w:p>
      <w:pPr>
        <w:pStyle w:val="825"/>
        <w:jc w:val="left"/>
        <w:widowControl/>
        <w:rPr>
          <w:rFonts w:hint="eastAsia"/>
          <w:color w:val="000000"/>
          <w:sz w:val="24"/>
          <w:highlight w:val="none"/>
        </w:rPr>
      </w:pPr>
      <w:r>
        <w:rPr>
          <w:rFonts w:hint="eastAsia"/>
          <w:color w:val="000000"/>
          <w:sz w:val="24"/>
          <w:highlight w:val="none"/>
        </w:rPr>
        <w:t xml:space="preserve">2</w:t>
      </w:r>
      <w:r>
        <w:rPr>
          <w:rFonts w:hint="eastAsia"/>
          <w:color w:val="000000"/>
          <w:sz w:val="24"/>
          <w:highlight w:val="none"/>
          <w:lang w:val="en-US" w:eastAsia="zh-CN"/>
        </w:rPr>
        <w:t xml:space="preserve">-1</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825"/>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825"/>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825"/>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825"/>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825"/>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825"/>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rPr>
          <w:rFonts w:ascii="宋体" w:hAnsi="宋体"/>
          <w:sz w:val="24"/>
          <w:highlight w:val="none"/>
        </w:rPr>
      </w:r>
      <w:r/>
    </w:p>
    <w:p>
      <w:pPr>
        <w:pStyle w:val="825"/>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825"/>
        <w:spacing w:line="560" w:lineRule="exact"/>
        <w:rPr>
          <w:rFonts w:ascii="宋体" w:hAnsi="宋体"/>
          <w:sz w:val="24"/>
          <w:highlight w:val="none"/>
        </w:rPr>
      </w:pPr>
      <w:r>
        <w:rPr>
          <w:rFonts w:ascii="宋体" w:hAnsi="宋体"/>
          <w:sz w:val="24"/>
          <w:highlight w:val="none"/>
        </w:rPr>
      </w:r>
      <w:r/>
    </w:p>
    <w:p>
      <w:pPr>
        <w:pStyle w:val="856"/>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2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2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2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2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2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2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25"/>
        <w:spacing w:line="560" w:lineRule="exact"/>
        <w:rPr>
          <w:rFonts w:ascii="宋体" w:hAnsi="宋体"/>
          <w:sz w:val="24"/>
          <w:highlight w:val="none"/>
        </w:rPr>
      </w:pPr>
      <w:r>
        <w:rPr>
          <w:rFonts w:hint="eastAsia" w:ascii="宋体" w:hAnsi="宋体"/>
          <w:sz w:val="24"/>
          <w:highlight w:val="none"/>
        </w:rPr>
        <w:t xml:space="preserve">                     投标人：（加盖公章）</w:t>
      </w:r>
      <w:r>
        <w:rPr>
          <w:rFonts w:ascii="宋体" w:hAnsi="宋体"/>
          <w:sz w:val="24"/>
          <w:highlight w:val="none"/>
        </w:rPr>
      </w:r>
      <w:r/>
    </w:p>
    <w:p>
      <w:pPr>
        <w:pStyle w:val="825"/>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825"/>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825"/>
        <w:jc w:val="left"/>
        <w:widowControl/>
        <w:rPr>
          <w:rFonts w:hint="eastAsia"/>
          <w:color w:val="000000"/>
          <w:sz w:val="24"/>
          <w:highlight w:val="none"/>
        </w:rPr>
      </w:pPr>
      <w:r>
        <w:rPr>
          <w:rFonts w:hint="eastAsia"/>
          <w:color w:val="000000"/>
          <w:sz w:val="24"/>
          <w:highlight w:val="none"/>
        </w:rPr>
      </w:r>
      <w:r/>
    </w:p>
    <w:p>
      <w:pPr>
        <w:pStyle w:val="825"/>
        <w:jc w:val="left"/>
        <w:widowControl/>
        <w:rPr>
          <w:rFonts w:hint="eastAsia"/>
          <w:color w:val="000000"/>
          <w:sz w:val="24"/>
          <w:highlight w:val="none"/>
        </w:rPr>
      </w:pPr>
      <w:r>
        <w:rPr>
          <w:rFonts w:hint="eastAsia"/>
          <w:color w:val="000000"/>
          <w:sz w:val="24"/>
          <w:highlight w:val="none"/>
        </w:rPr>
      </w:r>
      <w:r/>
    </w:p>
    <w:p>
      <w:pPr>
        <w:pStyle w:val="825"/>
        <w:jc w:val="left"/>
        <w:widowControl/>
        <w:rPr>
          <w:rFonts w:hint="eastAsia"/>
          <w:color w:val="000000"/>
          <w:sz w:val="24"/>
          <w:highlight w:val="none"/>
        </w:rPr>
      </w:pPr>
      <w:r>
        <w:rPr>
          <w:rFonts w:hint="eastAsia"/>
          <w:color w:val="000000"/>
          <w:sz w:val="24"/>
          <w:highlight w:val="none"/>
        </w:rPr>
      </w:r>
      <w:r/>
    </w:p>
    <w:p>
      <w:pPr>
        <w:pStyle w:val="825"/>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2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25"/>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25"/>
        <w:jc w:val="left"/>
        <w:widowControl/>
        <w:rPr>
          <w:rFonts w:hint="eastAsia"/>
          <w:color w:val="000000"/>
          <w:sz w:val="24"/>
          <w:highlight w:val="none"/>
        </w:rPr>
      </w:pPr>
      <w:r>
        <w:rPr>
          <w:rFonts w:hint="eastAsia"/>
          <w:color w:val="000000"/>
          <w:sz w:val="24"/>
          <w:highlight w:val="none"/>
        </w:rPr>
      </w:r>
      <w:r/>
    </w:p>
    <w:p>
      <w:pPr>
        <w:pStyle w:val="825"/>
        <w:jc w:val="left"/>
        <w:widowControl/>
        <w:rPr>
          <w:rFonts w:hint="eastAsia"/>
          <w:color w:val="000000"/>
          <w:sz w:val="24"/>
          <w:highlight w:val="none"/>
        </w:rPr>
      </w:pPr>
      <w:r>
        <w:rPr>
          <w:rFonts w:hint="eastAsia"/>
          <w:color w:val="000000"/>
          <w:sz w:val="24"/>
          <w:highlight w:val="none"/>
        </w:rPr>
      </w:r>
      <w:r/>
    </w:p>
    <w:p>
      <w:pPr>
        <w:pStyle w:val="825"/>
        <w:jc w:val="left"/>
        <w:widowControl/>
        <w:rPr>
          <w:rFonts w:hint="eastAsia"/>
          <w:color w:val="000000"/>
          <w:sz w:val="24"/>
          <w:highlight w:val="none"/>
        </w:rPr>
      </w:pPr>
      <w:r>
        <w:rPr>
          <w:rFonts w:hint="eastAsia"/>
          <w:color w:val="000000"/>
          <w:sz w:val="24"/>
          <w:highlight w:val="none"/>
        </w:rPr>
      </w:r>
      <w:r/>
    </w:p>
    <w:p>
      <w:pPr>
        <w:pStyle w:val="825"/>
        <w:jc w:val="left"/>
        <w:widowControl/>
        <w:rPr>
          <w:rFonts w:hint="eastAsia"/>
          <w:color w:val="000000"/>
          <w:sz w:val="24"/>
          <w:highlight w:val="none"/>
        </w:rPr>
      </w:pPr>
      <w:r>
        <w:rPr>
          <w:rFonts w:hint="eastAsia"/>
          <w:color w:val="000000"/>
          <w:sz w:val="24"/>
          <w:highlight w:val="none"/>
        </w:rPr>
      </w:r>
      <w:r/>
    </w:p>
    <w:p>
      <w:pPr>
        <w:pStyle w:val="825"/>
        <w:jc w:val="left"/>
        <w:widowControl/>
        <w:rPr>
          <w:rFonts w:hint="eastAsia" w:eastAsia="宋体"/>
          <w:sz w:val="24"/>
          <w:highlight w:val="none"/>
          <w:lang w:eastAsia="zh-CN"/>
        </w:rPr>
      </w:pPr>
      <w:r>
        <w:rPr>
          <w:rFonts w:hint="eastAsia"/>
          <w:color w:val="000000"/>
          <w:sz w:val="24"/>
          <w:highlight w:val="none"/>
          <w:lang w:val="en-US" w:eastAsia="zh-CN"/>
        </w:rPr>
        <w:t xml:space="preserve">2-2 </w:t>
      </w:r>
      <w:r>
        <w:rPr>
          <w:rFonts w:hint="eastAsia"/>
          <w:sz w:val="24"/>
          <w:highlight w:val="none"/>
        </w:rPr>
        <w:t xml:space="preserve">授权委托书（实质性格式）</w:t>
      </w:r>
      <w:r>
        <w:rPr>
          <w:rFonts w:hint="eastAsia"/>
          <w:sz w:val="24"/>
          <w:highlight w:val="none"/>
          <w:lang w:eastAsia="zh-CN"/>
        </w:rPr>
        <w:t xml:space="preserve">（</w:t>
      </w:r>
      <w:r>
        <w:rPr>
          <w:rFonts w:hint="eastAsia"/>
          <w:sz w:val="24"/>
          <w:highlight w:val="none"/>
          <w:lang w:val="en-US" w:eastAsia="zh-CN"/>
        </w:rPr>
        <w:t xml:space="preserve">如有</w:t>
      </w:r>
      <w:r>
        <w:rPr>
          <w:rFonts w:hint="eastAsia"/>
          <w:sz w:val="24"/>
          <w:highlight w:val="none"/>
          <w:lang w:eastAsia="zh-CN"/>
        </w:rPr>
        <w:t xml:space="preserve">）</w:t>
      </w:r>
      <w:r>
        <w:rPr>
          <w:rFonts w:hint="eastAsia" w:eastAsia="宋体"/>
          <w:sz w:val="24"/>
          <w:highlight w:val="none"/>
          <w:lang w:eastAsia="zh-CN"/>
        </w:rPr>
      </w:r>
      <w:r/>
    </w:p>
    <w:p>
      <w:pPr>
        <w:pStyle w:val="825"/>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825"/>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授权委托书</w:t>
      </w:r>
      <w:r>
        <w:rPr>
          <w:rFonts w:hint="eastAsia" w:ascii="宋体" w:hAnsi="宋体"/>
          <w:b/>
          <w:sz w:val="32"/>
          <w:szCs w:val="32"/>
          <w:highlight w:val="none"/>
        </w:rPr>
      </w:r>
      <w:r/>
    </w:p>
    <w:p>
      <w:pPr>
        <w:pStyle w:val="825"/>
        <w:ind w:firstLine="516"/>
        <w:spacing w:line="360" w:lineRule="auto"/>
        <w:rPr>
          <w:rFonts w:ascii="宋体" w:hAnsi="宋体" w:cs="宋体"/>
          <w:sz w:val="24"/>
          <w:highlight w:val="none"/>
        </w:rPr>
      </w:pPr>
      <w:r>
        <w:rPr>
          <w:rFonts w:ascii="宋体" w:hAnsi="宋体" w:cs="宋体"/>
          <w:sz w:val="24"/>
          <w:highlight w:val="none"/>
        </w:rPr>
      </w:r>
      <w:r/>
    </w:p>
    <w:p>
      <w:pPr>
        <w:pStyle w:val="825"/>
        <w:ind w:firstLine="516"/>
        <w:spacing w:line="360" w:lineRule="auto"/>
        <w:rPr>
          <w:rFonts w:ascii="宋体" w:hAnsi="宋体" w:cs="宋体"/>
          <w:sz w:val="24"/>
          <w:highlight w:val="none"/>
        </w:rPr>
      </w:pPr>
      <w:r>
        <w:rPr>
          <w:rFonts w:hint="eastAsia" w:ascii="宋体" w:hAnsi="宋体" w:cs="宋体"/>
          <w:sz w:val="24"/>
          <w:highlight w:val="none"/>
        </w:rPr>
        <w:t xml:space="preserve">本授权委托书声明：我 ___________(姓名)系_________________（供应商名称）的法定代表人，现授权委托__________________（被授权人的姓名、职务）为本次</w:t>
      </w:r>
      <w:r>
        <w:rPr>
          <w:rFonts w:hint="eastAsia" w:ascii="宋体" w:hAnsi="宋体" w:cs="宋体"/>
          <w:sz w:val="24"/>
          <w:highlight w:val="none"/>
          <w:lang w:val="en-US" w:eastAsia="zh-CN"/>
        </w:rPr>
        <w:t xml:space="preserve">招投标活动</w:t>
      </w:r>
      <w:r>
        <w:rPr>
          <w:rFonts w:hint="eastAsia" w:ascii="宋体" w:hAnsi="宋体" w:cs="宋体"/>
          <w:sz w:val="24"/>
          <w:highlight w:val="none"/>
        </w:rPr>
        <w:t xml:space="preserve">中我单位的合法代理人，全权负责参加本次项目的</w:t>
      </w:r>
      <w:r>
        <w:rPr>
          <w:rFonts w:hint="eastAsia" w:ascii="宋体" w:hAnsi="宋体" w:cs="宋体"/>
          <w:sz w:val="24"/>
          <w:highlight w:val="none"/>
          <w:lang w:val="en-US" w:eastAsia="zh-CN"/>
        </w:rPr>
        <w:t xml:space="preserve">招投标</w:t>
      </w:r>
      <w:r>
        <w:rPr>
          <w:rFonts w:hint="eastAsia" w:ascii="宋体" w:hAnsi="宋体" w:cs="宋体"/>
          <w:sz w:val="24"/>
          <w:highlight w:val="none"/>
        </w:rPr>
        <w:t xml:space="preserve">、签订合约以及与之相关的各项工作。本供应商对被授权人的签名负全部责任。</w:t>
      </w:r>
      <w:r>
        <w:rPr>
          <w:rFonts w:ascii="宋体" w:hAnsi="宋体" w:cs="宋体"/>
          <w:sz w:val="24"/>
          <w:highlight w:val="none"/>
        </w:rPr>
      </w:r>
      <w:r/>
    </w:p>
    <w:p>
      <w:pPr>
        <w:pStyle w:val="825"/>
        <w:ind w:firstLine="516"/>
        <w:spacing w:line="360" w:lineRule="auto"/>
        <w:rPr>
          <w:rFonts w:ascii="宋体" w:hAnsi="宋体" w:cs="宋体"/>
          <w:sz w:val="24"/>
          <w:highlight w:val="none"/>
        </w:rPr>
      </w:pPr>
      <w:r>
        <w:rPr>
          <w:rFonts w:hint="eastAsia" w:ascii="宋体" w:hAnsi="宋体" w:cs="宋体"/>
          <w:sz w:val="24"/>
          <w:highlight w:val="none"/>
        </w:rPr>
        <w:t xml:space="preserve">本授权书于__________年_______月________日签字或盖章生效，特此声明。</w:t>
      </w:r>
      <w:r>
        <w:rPr>
          <w:rFonts w:ascii="宋体" w:hAnsi="宋体" w:cs="宋体"/>
          <w:sz w:val="24"/>
          <w:highlight w:val="none"/>
        </w:rPr>
      </w:r>
      <w:r/>
    </w:p>
    <w:p>
      <w:pPr>
        <w:pStyle w:val="825"/>
        <w:spacing w:line="360" w:lineRule="auto"/>
        <w:rPr>
          <w:rFonts w:ascii="宋体" w:hAnsi="宋体" w:cs="宋体"/>
          <w:sz w:val="24"/>
          <w:highlight w:val="none"/>
        </w:rPr>
      </w:pPr>
      <w:r>
        <w:rPr>
          <w:rFonts w:ascii="宋体" w:hAnsi="宋体" w:cs="宋体"/>
          <w:sz w:val="24"/>
          <w:highlight w:val="none"/>
        </w:rPr>
      </w:r>
      <w:r/>
    </w:p>
    <w:p>
      <w:pPr>
        <w:pStyle w:val="825"/>
        <w:spacing w:line="400" w:lineRule="exact"/>
        <w:rPr>
          <w:rFonts w:ascii="宋体" w:hAnsi="宋体" w:cs="宋体"/>
          <w:szCs w:val="21"/>
          <w:highlight w:val="none"/>
        </w:rPr>
      </w:pPr>
      <w:r>
        <w:rPr>
          <w:rFonts w:hint="eastAsia" w:ascii="宋体" w:hAnsi="宋体" w:cs="宋体"/>
          <w:szCs w:val="21"/>
          <w:highlight w:val="none"/>
        </w:rPr>
        <w:t xml:space="preserve">法定代表人签字或盖章：                       日期：</w:t>
      </w:r>
      <w:r>
        <w:rPr>
          <w:rFonts w:ascii="宋体" w:hAnsi="宋体" w:cs="宋体"/>
          <w:szCs w:val="21"/>
          <w:highlight w:val="none"/>
        </w:rPr>
      </w:r>
      <w:r/>
    </w:p>
    <w:p>
      <w:pPr>
        <w:pStyle w:val="825"/>
        <w:spacing w:line="40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825"/>
        <w:spacing w:line="40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825"/>
        <w:spacing w:line="40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825"/>
        <w:spacing w:line="400" w:lineRule="exact"/>
        <w:rPr>
          <w:rFonts w:ascii="宋体" w:hAnsi="宋体" w:cs="宋体"/>
          <w:szCs w:val="21"/>
          <w:highlight w:val="none"/>
        </w:rPr>
      </w:pPr>
      <w:r>
        <w:rPr>
          <w:rFonts w:ascii="宋体" w:hAnsi="宋体" w:cs="宋体"/>
          <w:szCs w:val="21"/>
          <w:highlight w:val="none"/>
        </w:rPr>
      </w:r>
      <w:r/>
    </w:p>
    <w:p>
      <w:pPr>
        <w:pStyle w:val="825"/>
        <w:spacing w:line="400" w:lineRule="exact"/>
        <w:rPr>
          <w:rFonts w:ascii="宋体" w:hAnsi="宋体" w:cs="宋体"/>
          <w:szCs w:val="21"/>
          <w:highlight w:val="none"/>
        </w:rPr>
      </w:pPr>
      <w:r>
        <w:rPr>
          <w:rFonts w:hint="eastAsia" w:ascii="宋体" w:hAnsi="宋体" w:cs="宋体"/>
          <w:szCs w:val="21"/>
          <w:highlight w:val="none"/>
        </w:rPr>
        <w:t xml:space="preserve">委托代理人（被授权人）签字或盖章：           日期：</w:t>
      </w:r>
      <w:r>
        <w:rPr>
          <w:rFonts w:ascii="宋体" w:hAnsi="宋体" w:cs="宋体"/>
          <w:szCs w:val="21"/>
          <w:highlight w:val="none"/>
        </w:rPr>
      </w:r>
      <w:r/>
    </w:p>
    <w:p>
      <w:pPr>
        <w:pStyle w:val="825"/>
        <w:spacing w:line="40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825"/>
        <w:spacing w:line="40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825"/>
        <w:spacing w:line="40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825"/>
        <w:spacing w:line="400" w:lineRule="exact"/>
        <w:rPr>
          <w:rFonts w:ascii="宋体" w:hAnsi="宋体" w:cs="宋体"/>
          <w:szCs w:val="21"/>
          <w:highlight w:val="none"/>
        </w:rPr>
      </w:pPr>
      <w:r>
        <w:rPr>
          <w:rFonts w:ascii="宋体" w:hAnsi="宋体" w:cs="宋体"/>
          <w:szCs w:val="21"/>
          <w:highlight w:val="none"/>
        </w:rPr>
      </w:r>
      <w:r/>
    </w:p>
    <w:p>
      <w:pPr>
        <w:pStyle w:val="825"/>
        <w:spacing w:line="400" w:lineRule="exact"/>
        <w:rPr>
          <w:rFonts w:ascii="宋体" w:hAnsi="宋体" w:cs="宋体"/>
          <w:szCs w:val="21"/>
          <w:highlight w:val="none"/>
        </w:rPr>
      </w:pPr>
      <w:r>
        <w:rPr>
          <w:rFonts w:hint="eastAsia" w:ascii="宋体" w:hAnsi="宋体" w:cs="宋体"/>
          <w:szCs w:val="21"/>
          <w:highlight w:val="none"/>
        </w:rPr>
        <w:t xml:space="preserve">供应商公章： </w:t>
      </w:r>
      <w:r>
        <w:rPr>
          <w:rFonts w:ascii="宋体" w:hAnsi="宋体" w:cs="宋体"/>
          <w:szCs w:val="21"/>
          <w:highlight w:val="none"/>
        </w:rPr>
      </w:r>
      <w:r/>
    </w:p>
    <w:p>
      <w:pPr>
        <w:pStyle w:val="825"/>
        <w:spacing w:line="400" w:lineRule="exact"/>
        <w:rPr>
          <w:rFonts w:ascii="宋体" w:hAnsi="宋体" w:cs="宋体"/>
          <w:szCs w:val="21"/>
          <w:highlight w:val="none"/>
        </w:rPr>
      </w:pPr>
      <w:r>
        <w:rPr>
          <w:rFonts w:hint="eastAsia" w:ascii="宋体" w:hAnsi="宋体" w:cs="宋体"/>
          <w:szCs w:val="21"/>
          <w:highlight w:val="none"/>
        </w:rPr>
        <w:t xml:space="preserve">地址：                                       电话：</w:t>
      </w:r>
      <w:r>
        <w:rPr>
          <w:rFonts w:ascii="宋体" w:hAnsi="宋体" w:cs="宋体"/>
          <w:szCs w:val="21"/>
          <w:highlight w:val="none"/>
        </w:rPr>
      </w:r>
      <w:r/>
    </w:p>
    <w:p>
      <w:pPr>
        <w:pStyle w:val="825"/>
        <w:spacing w:line="400" w:lineRule="exact"/>
        <w:rPr>
          <w:rFonts w:ascii="宋体" w:hAnsi="宋体" w:cs="宋体"/>
          <w:szCs w:val="21"/>
          <w:highlight w:val="none"/>
        </w:rPr>
      </w:pPr>
      <w:r>
        <w:rPr>
          <w:rFonts w:hint="eastAsia" w:ascii="宋体" w:hAnsi="宋体" w:cs="宋体"/>
          <w:szCs w:val="21"/>
          <w:highlight w:val="none"/>
        </w:rPr>
        <w:t xml:space="preserve">传真：                                       邮编：</w:t>
      </w:r>
      <w:r>
        <w:rPr>
          <w:rFonts w:ascii="宋体" w:hAnsi="宋体" w:cs="宋体"/>
          <w:szCs w:val="21"/>
          <w:highlight w:val="none"/>
        </w:rPr>
      </w:r>
      <w:r/>
    </w:p>
    <w:p>
      <w:pPr>
        <w:pStyle w:val="825"/>
        <w:spacing w:line="400" w:lineRule="exact"/>
        <w:rPr>
          <w:rFonts w:ascii="宋体" w:hAnsi="宋体" w:cs="宋体"/>
          <w:szCs w:val="21"/>
          <w:highlight w:val="none"/>
        </w:rPr>
      </w:pPr>
      <w:r>
        <w:rPr>
          <w:rFonts w:hint="eastAsia" w:ascii="宋体" w:hAnsi="宋体" w:cs="宋体"/>
          <w:szCs w:val="21"/>
          <w:highlight w:val="none"/>
        </w:rPr>
        <w:t xml:space="preserve">开户行：</w:t>
      </w:r>
      <w:r>
        <w:rPr>
          <w:rFonts w:ascii="宋体" w:hAnsi="宋体" w:cs="宋体"/>
          <w:szCs w:val="21"/>
          <w:highlight w:val="none"/>
        </w:rPr>
      </w:r>
      <w:r/>
    </w:p>
    <w:p>
      <w:pPr>
        <w:pStyle w:val="825"/>
        <w:spacing w:line="400" w:lineRule="exact"/>
        <w:rPr>
          <w:rFonts w:ascii="宋体" w:hAnsi="宋体" w:cs="宋体"/>
          <w:szCs w:val="21"/>
          <w:highlight w:val="none"/>
        </w:rPr>
      </w:pPr>
      <w:r>
        <w:rPr>
          <w:rFonts w:hint="eastAsia" w:ascii="宋体" w:hAnsi="宋体" w:cs="宋体"/>
          <w:szCs w:val="21"/>
          <w:highlight w:val="none"/>
        </w:rPr>
        <w:t xml:space="preserve">账号：</w:t>
      </w:r>
      <w:r>
        <w:rPr>
          <w:rFonts w:ascii="宋体" w:hAnsi="宋体" w:cs="宋体"/>
          <w:szCs w:val="21"/>
          <w:highlight w:val="none"/>
        </w:rPr>
      </w:r>
      <w:r/>
    </w:p>
    <w:p>
      <w:pPr>
        <w:pStyle w:val="825"/>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pStyle w:val="825"/>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t xml:space="preserve">附：代理人身份证正反面电子件</w:t>
      </w:r>
      <w:r>
        <w:rPr>
          <w:rFonts w:hint="eastAsia" w:ascii="宋体" w:hAnsi="宋体"/>
          <w:sz w:val="24"/>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25"/>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825"/>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825"/>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pStyle w:val="825"/>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825"/>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825"/>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pStyle w:val="825"/>
        <w:jc w:val="left"/>
        <w:widowControl/>
        <w:rPr>
          <w:rFonts w:eastAsia="宋体"/>
          <w:color w:val="000000"/>
          <w:sz w:val="24"/>
          <w:highlight w:val="none"/>
          <w:lang w:val="en-US" w:eastAsia="zh-CN"/>
        </w:rPr>
        <w:sectPr>
          <w:headerReference w:type="even" r:id="rId14"/>
          <w:headerReference w:type="first" r:id="rId15"/>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rFonts w:eastAsia="宋体"/>
          <w:color w:val="000000"/>
          <w:sz w:val="24"/>
          <w:highlight w:val="none"/>
          <w:lang w:val="en-US" w:eastAsia="zh-CN"/>
        </w:rPr>
      </w:r>
      <w:r/>
    </w:p>
    <w:p>
      <w:pPr>
        <w:pStyle w:val="825"/>
        <w:jc w:val="left"/>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rFonts w:hint="eastAsia"/>
          <w:color w:val="000000"/>
          <w:sz w:val="24"/>
          <w:highlight w:val="none"/>
        </w:rPr>
      </w:r>
      <w:r/>
    </w:p>
    <w:p>
      <w:pPr>
        <w:pStyle w:val="825"/>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25"/>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825"/>
        <w:ind w:firstLine="640"/>
        <w:rPr>
          <w:highlight w:val="none"/>
        </w:rPr>
      </w:pPr>
      <w:r>
        <w:rPr>
          <w:highlight w:val="none"/>
        </w:rPr>
      </w:r>
      <w:r/>
    </w:p>
    <w:p>
      <w:pPr>
        <w:pStyle w:val="825"/>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825"/>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825"/>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825"/>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825"/>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825"/>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825"/>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825"/>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825"/>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825"/>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825"/>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825"/>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076"/>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82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82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25"/>
        <w:jc w:val="left"/>
        <w:widowControl/>
        <w:rPr>
          <w:color w:val="000000"/>
          <w:sz w:val="24"/>
          <w:szCs w:val="20"/>
          <w:highlight w:val="none"/>
        </w:rPr>
      </w:pPr>
      <w:r/>
      <w:bookmarkStart w:id="824" w:name="_Hlt520274121"/>
      <w:r/>
      <w:bookmarkEnd w:id="824"/>
      <w:r/>
      <w:bookmarkStart w:id="825" w:name="_Hlt520274407"/>
      <w:r/>
      <w:bookmarkEnd w:id="825"/>
      <w:r/>
      <w:bookmarkStart w:id="826" w:name="_Hlt520271212"/>
      <w:r/>
      <w:bookmarkEnd w:id="826"/>
      <w:r/>
      <w:bookmarkStart w:id="827" w:name="_Hlt520274393"/>
      <w:r/>
      <w:bookmarkEnd w:id="827"/>
      <w:r/>
      <w:bookmarkStart w:id="828" w:name="_Hlt520343000"/>
      <w:r/>
      <w:bookmarkEnd w:id="828"/>
      <w:r/>
      <w:bookmarkStart w:id="829" w:name="_Hlt520350918"/>
      <w:r/>
      <w:bookmarkEnd w:id="829"/>
      <w:r/>
      <w:bookmarkStart w:id="830" w:name="_Hlt520355504"/>
      <w:r/>
      <w:bookmarkEnd w:id="830"/>
      <w:r/>
      <w:bookmarkStart w:id="831" w:name="_Hlt520343392"/>
      <w:r/>
      <w:bookmarkEnd w:id="831"/>
      <w:r/>
      <w:bookmarkStart w:id="832" w:name="_Hlt520273711"/>
      <w:r/>
      <w:bookmarkEnd w:id="832"/>
      <w:r/>
      <w:bookmarkStart w:id="833" w:name="_Hlt520274065"/>
      <w:r/>
      <w:bookmarkEnd w:id="833"/>
      <w:r/>
      <w:bookmarkStart w:id="834" w:name="_Toc480942350"/>
      <w:r/>
      <w:bookmarkStart w:id="835" w:name="_Toc150774762"/>
      <w:r/>
      <w:bookmarkStart w:id="836" w:name="_Ref467988705"/>
      <w:r/>
      <w:bookmarkStart w:id="837" w:name="_Toc226965747"/>
      <w:r/>
      <w:bookmarkStart w:id="838" w:name="_Toc305158825"/>
      <w:r/>
      <w:bookmarkStart w:id="839" w:name="_Toc226309801"/>
      <w:r/>
      <w:bookmarkStart w:id="840" w:name="_Toc226337253"/>
      <w:r/>
      <w:bookmarkStart w:id="841" w:name="_Toc150480795"/>
      <w:r/>
      <w:bookmarkStart w:id="842" w:name="_Toc142311059"/>
      <w:r/>
      <w:bookmarkStart w:id="843" w:name="_Toc520356218"/>
      <w:r/>
      <w:bookmarkStart w:id="844" w:name="_Toc127151557"/>
      <w:r/>
      <w:bookmarkStart w:id="845" w:name="_Toc226965830"/>
      <w:r/>
      <w:bookmarkStart w:id="846" w:name="_Toc264969247"/>
      <w:r/>
      <w:bookmarkStart w:id="847" w:name="_Toc265228395"/>
      <w:r/>
      <w:bookmarkStart w:id="848" w:name="_Toc195842922"/>
      <w:r/>
      <w:bookmarkStart w:id="849" w:name="_Toc305158899"/>
      <w:r>
        <w:rPr>
          <w:color w:val="000000"/>
          <w:sz w:val="24"/>
          <w:szCs w:val="20"/>
          <w:highlight w:val="none"/>
        </w:rPr>
        <w:br w:type="page" w:clear="all"/>
      </w:r>
      <w:r>
        <w:rPr>
          <w:color w:val="000000"/>
          <w:sz w:val="24"/>
          <w:szCs w:val="20"/>
          <w:highlight w:val="none"/>
        </w:rPr>
      </w:r>
      <w:r/>
    </w:p>
    <w:p>
      <w:pPr>
        <w:pStyle w:val="825"/>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rPr>
          <w:color w:val="000000"/>
          <w:sz w:val="24"/>
          <w:szCs w:val="20"/>
          <w:highlight w:val="none"/>
        </w:rPr>
        <w:t xml:space="preserve">（实质性格式）</w:t>
      </w:r>
      <w:r>
        <w:rPr>
          <w:color w:val="000000"/>
          <w:sz w:val="24"/>
          <w:szCs w:val="20"/>
          <w:highlight w:val="none"/>
        </w:rPr>
      </w:r>
      <w:r/>
    </w:p>
    <w:p>
      <w:pPr>
        <w:pStyle w:val="825"/>
        <w:jc w:val="center"/>
        <w:spacing w:line="360" w:lineRule="exact"/>
        <w:rPr>
          <w:b/>
          <w:color w:val="000000"/>
          <w:sz w:val="36"/>
          <w:szCs w:val="36"/>
          <w:highlight w:val="none"/>
        </w:rPr>
      </w:pPr>
      <w:r/>
      <w:bookmarkStart w:id="850" w:name="_Toc226337254"/>
      <w:r/>
      <w:bookmarkStart w:id="851" w:name="_Toc164608827"/>
      <w:r/>
      <w:bookmarkStart w:id="852" w:name="_Toc226309802"/>
      <w:r/>
      <w:bookmarkStart w:id="853" w:name="_Toc164608672"/>
      <w:r/>
      <w:bookmarkStart w:id="854" w:name="_Toc195842923"/>
      <w:r/>
      <w:bookmarkStart w:id="855" w:name="_Toc226965831"/>
      <w:r/>
      <w:bookmarkStart w:id="856" w:name="_Toc264969248"/>
      <w:r/>
      <w:bookmarkStart w:id="857" w:name="_Toc226965748"/>
      <w:r/>
      <w:bookmarkStart w:id="858" w:name="_Toc265228396"/>
      <w:r/>
      <w:bookmarkStart w:id="859" w:name="_Toc305158826"/>
      <w:r/>
      <w:bookmarkStart w:id="860" w:name="_Toc305158900"/>
      <w:r>
        <w:rPr>
          <w:rFonts w:hint="eastAsia"/>
          <w:b/>
          <w:color w:val="000000"/>
          <w:sz w:val="36"/>
          <w:szCs w:val="36"/>
          <w:highlight w:val="none"/>
        </w:rPr>
        <w:t xml:space="preserve">开标一览表</w:t>
      </w:r>
      <w:bookmarkEnd w:id="850"/>
      <w:r/>
      <w:bookmarkEnd w:id="851"/>
      <w:r/>
      <w:bookmarkEnd w:id="852"/>
      <w:r/>
      <w:bookmarkEnd w:id="853"/>
      <w:r/>
      <w:bookmarkEnd w:id="854"/>
      <w:r/>
      <w:bookmarkEnd w:id="855"/>
      <w:r/>
      <w:bookmarkEnd w:id="856"/>
      <w:r/>
      <w:bookmarkEnd w:id="857"/>
      <w:r/>
      <w:bookmarkEnd w:id="858"/>
      <w:r/>
      <w:bookmarkEnd w:id="859"/>
      <w:r/>
      <w:bookmarkEnd w:id="860"/>
      <w:r>
        <w:rPr>
          <w:b/>
          <w:color w:val="000000"/>
          <w:sz w:val="36"/>
          <w:szCs w:val="36"/>
          <w:highlight w:val="none"/>
        </w:rPr>
      </w:r>
      <w:r/>
    </w:p>
    <w:p>
      <w:pPr>
        <w:pStyle w:val="825"/>
        <w:ind w:firstLine="240"/>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825"/>
        <w:ind w:firstLine="24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w:t>
      </w:r>
      <w:r>
        <w:rPr>
          <w:color w:val="000000"/>
          <w:sz w:val="24"/>
          <w:highlight w:val="none"/>
        </w:rPr>
      </w:r>
      <w:r/>
    </w:p>
    <w:p>
      <w:pPr>
        <w:pStyle w:val="825"/>
        <w:ind w:firstLine="240"/>
        <w:jc w:val="left"/>
        <w:spacing w:line="360" w:lineRule="auto"/>
        <w:tabs>
          <w:tab w:val="left" w:pos="1800" w:leader="none"/>
          <w:tab w:val="left" w:pos="5580" w:leader="none"/>
        </w:tabs>
        <w:rPr>
          <w:color w:val="000000"/>
          <w:sz w:val="24"/>
          <w:highlight w:val="none"/>
        </w:rPr>
      </w:pPr>
      <w:r>
        <w:rPr>
          <w:color w:val="000000"/>
          <w:sz w:val="24"/>
          <w:highlight w:val="none"/>
        </w:rPr>
      </w:r>
      <w:r/>
    </w:p>
    <w:tbl>
      <w:tblPr>
        <w:tblW w:w="908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2"/>
        <w:gridCol w:w="2477"/>
        <w:gridCol w:w="2851"/>
        <w:gridCol w:w="2852"/>
      </w:tblGrid>
      <w:tr>
        <w:trPr>
          <w:trHeight w:val="531"/>
        </w:trPr>
        <w:tc>
          <w:tcPr>
            <w:tcW w:w="902" w:type="dxa"/>
            <w:vAlign w:val="center"/>
            <w:vMerge w:val="restart"/>
            <w:textDirection w:val="lrTb"/>
            <w:noWrap w:val="false"/>
          </w:tcPr>
          <w:p>
            <w:pPr>
              <w:pStyle w:val="825"/>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2477" w:type="dxa"/>
            <w:vAlign w:val="center"/>
            <w:vMerge w:val="restart"/>
            <w:textDirection w:val="lrTb"/>
            <w:noWrap w:val="false"/>
          </w:tcPr>
          <w:p>
            <w:pPr>
              <w:pStyle w:val="825"/>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gridSpan w:val="2"/>
            <w:tcW w:w="5703" w:type="dxa"/>
            <w:vAlign w:val="center"/>
            <w:textDirection w:val="lrTb"/>
            <w:noWrap w:val="false"/>
          </w:tcPr>
          <w:p>
            <w:pPr>
              <w:pStyle w:val="825"/>
              <w:jc w:val="center"/>
              <w:tabs>
                <w:tab w:val="left" w:pos="5580" w:leader="none"/>
              </w:tabs>
              <w:rPr>
                <w:rFonts w:hint="eastAsia" w:eastAsia="宋体"/>
                <w:b/>
                <w:sz w:val="24"/>
                <w:highlight w:val="none"/>
                <w:lang w:eastAsia="zh-CN"/>
              </w:rPr>
            </w:pPr>
            <w:r>
              <w:rPr>
                <w:rFonts w:hint="eastAsia"/>
                <w:b/>
                <w:sz w:val="24"/>
                <w:highlight w:val="none"/>
              </w:rPr>
              <w:t xml:space="preserve">报价</w:t>
            </w:r>
            <w:r>
              <w:rPr>
                <w:rFonts w:hint="eastAsia"/>
                <w:b/>
                <w:sz w:val="24"/>
                <w:highlight w:val="none"/>
                <w:u w:val="none"/>
                <w:lang w:eastAsia="zh-CN"/>
              </w:rPr>
              <w:t xml:space="preserve">（</w:t>
            </w:r>
            <w:r>
              <w:rPr>
                <w:rFonts w:hint="eastAsia"/>
                <w:b/>
                <w:sz w:val="24"/>
                <w:highlight w:val="none"/>
                <w:u w:val="none"/>
                <w:lang w:val="en-US" w:eastAsia="zh-CN"/>
              </w:rPr>
              <w:t xml:space="preserve">人民币</w:t>
            </w:r>
            <w:r>
              <w:rPr>
                <w:rFonts w:hint="eastAsia"/>
                <w:b/>
                <w:sz w:val="24"/>
                <w:highlight w:val="none"/>
                <w:u w:val="none"/>
                <w:lang w:eastAsia="zh-CN"/>
              </w:rPr>
              <w:t xml:space="preserve">）</w:t>
            </w:r>
            <w:r>
              <w:rPr>
                <w:rFonts w:hint="eastAsia" w:eastAsia="宋体"/>
                <w:b/>
                <w:sz w:val="24"/>
                <w:highlight w:val="none"/>
                <w:lang w:eastAsia="zh-CN"/>
              </w:rPr>
            </w:r>
            <w:r/>
          </w:p>
        </w:tc>
      </w:tr>
      <w:tr>
        <w:trPr>
          <w:trHeight w:val="674"/>
        </w:trPr>
        <w:tc>
          <w:tcPr>
            <w:tcW w:w="902" w:type="dxa"/>
            <w:vAlign w:val="center"/>
            <w:vMerge w:val="continue"/>
            <w:textDirection w:val="lrTb"/>
            <w:noWrap w:val="false"/>
          </w:tcPr>
          <w:p>
            <w:pPr>
              <w:pStyle w:val="825"/>
              <w:jc w:val="left"/>
              <w:widowControl/>
              <w:rPr>
                <w:b/>
                <w:sz w:val="24"/>
                <w:highlight w:val="none"/>
              </w:rPr>
            </w:pPr>
            <w:r>
              <w:rPr>
                <w:b/>
                <w:sz w:val="24"/>
                <w:highlight w:val="none"/>
              </w:rPr>
            </w:r>
            <w:r/>
          </w:p>
        </w:tc>
        <w:tc>
          <w:tcPr>
            <w:tcW w:w="2477" w:type="dxa"/>
            <w:vAlign w:val="center"/>
            <w:vMerge w:val="continue"/>
            <w:textDirection w:val="lrTb"/>
            <w:noWrap w:val="false"/>
          </w:tcPr>
          <w:p>
            <w:pPr>
              <w:pStyle w:val="825"/>
              <w:jc w:val="left"/>
              <w:widowControl/>
              <w:rPr>
                <w:b/>
                <w:sz w:val="24"/>
                <w:highlight w:val="none"/>
              </w:rPr>
            </w:pPr>
            <w:r>
              <w:rPr>
                <w:b/>
                <w:sz w:val="24"/>
                <w:highlight w:val="none"/>
              </w:rPr>
            </w:r>
            <w:r/>
          </w:p>
        </w:tc>
        <w:tc>
          <w:tcPr>
            <w:tcW w:w="2851" w:type="dxa"/>
            <w:vAlign w:val="center"/>
            <w:textDirection w:val="lrTb"/>
            <w:noWrap w:val="false"/>
          </w:tcPr>
          <w:p>
            <w:pPr>
              <w:pStyle w:val="825"/>
              <w:jc w:val="center"/>
              <w:tabs>
                <w:tab w:val="left" w:pos="5580" w:leader="none"/>
              </w:tabs>
              <w:rPr>
                <w:b/>
                <w:sz w:val="24"/>
                <w:highlight w:val="none"/>
              </w:rPr>
            </w:pPr>
            <w:r>
              <w:rPr>
                <w:rFonts w:hint="eastAsia"/>
                <w:b/>
                <w:sz w:val="24"/>
                <w:highlight w:val="none"/>
              </w:rPr>
              <w:t xml:space="preserve">大写</w:t>
            </w:r>
            <w:r>
              <w:rPr>
                <w:b/>
                <w:sz w:val="24"/>
                <w:highlight w:val="none"/>
              </w:rPr>
            </w:r>
            <w:r/>
          </w:p>
        </w:tc>
        <w:tc>
          <w:tcPr>
            <w:tcW w:w="2852" w:type="dxa"/>
            <w:vAlign w:val="center"/>
            <w:textDirection w:val="lrTb"/>
            <w:noWrap w:val="false"/>
          </w:tcPr>
          <w:p>
            <w:pPr>
              <w:pStyle w:val="825"/>
              <w:jc w:val="center"/>
              <w:tabs>
                <w:tab w:val="left" w:pos="5580" w:leader="none"/>
              </w:tabs>
              <w:rPr>
                <w:b/>
                <w:sz w:val="24"/>
                <w:highlight w:val="none"/>
              </w:rPr>
            </w:pPr>
            <w:r>
              <w:rPr>
                <w:rFonts w:hint="eastAsia"/>
                <w:b/>
                <w:sz w:val="24"/>
                <w:highlight w:val="none"/>
              </w:rPr>
              <w:t xml:space="preserve">小写</w:t>
            </w:r>
            <w:r>
              <w:rPr>
                <w:b/>
                <w:sz w:val="24"/>
                <w:highlight w:val="none"/>
              </w:rPr>
            </w:r>
            <w:r/>
          </w:p>
        </w:tc>
      </w:tr>
      <w:tr>
        <w:trPr>
          <w:trHeight w:val="1461"/>
        </w:trPr>
        <w:tc>
          <w:tcPr>
            <w:tcW w:w="902" w:type="dxa"/>
            <w:vAlign w:val="center"/>
            <w:textDirection w:val="lrTb"/>
            <w:noWrap w:val="false"/>
          </w:tcPr>
          <w:p>
            <w:pPr>
              <w:pStyle w:val="825"/>
              <w:jc w:val="center"/>
              <w:tabs>
                <w:tab w:val="left" w:pos="5580" w:leader="none"/>
              </w:tabs>
              <w:rPr>
                <w:rFonts w:hint="eastAsia"/>
                <w:sz w:val="24"/>
                <w:highlight w:val="none"/>
              </w:rPr>
            </w:pPr>
            <w:r>
              <w:rPr>
                <w:rFonts w:hint="eastAsia"/>
                <w:sz w:val="24"/>
                <w:highlight w:val="none"/>
              </w:rPr>
              <w:t xml:space="preserve">1</w:t>
            </w:r>
            <w:r>
              <w:rPr>
                <w:rFonts w:hint="eastAsia"/>
                <w:sz w:val="24"/>
                <w:highlight w:val="none"/>
              </w:rPr>
            </w:r>
            <w:r/>
          </w:p>
        </w:tc>
        <w:tc>
          <w:tcPr>
            <w:tcW w:w="2477" w:type="dxa"/>
            <w:vAlign w:val="center"/>
            <w:textDirection w:val="lrTb"/>
            <w:noWrap w:val="false"/>
          </w:tcPr>
          <w:p>
            <w:pPr>
              <w:pStyle w:val="825"/>
              <w:jc w:val="center"/>
              <w:tabs>
                <w:tab w:val="left" w:pos="5580" w:leader="none"/>
              </w:tabs>
              <w:rPr>
                <w:sz w:val="24"/>
                <w:highlight w:val="none"/>
              </w:rPr>
            </w:pPr>
            <w:r>
              <w:rPr>
                <w:sz w:val="24"/>
                <w:highlight w:val="none"/>
              </w:rPr>
            </w:r>
            <w:r/>
          </w:p>
        </w:tc>
        <w:tc>
          <w:tcPr>
            <w:tcW w:w="2851" w:type="dxa"/>
            <w:vAlign w:val="center"/>
            <w:textDirection w:val="lrTb"/>
            <w:noWrap w:val="false"/>
          </w:tcPr>
          <w:p>
            <w:pPr>
              <w:pStyle w:val="825"/>
              <w:tabs>
                <w:tab w:val="left" w:pos="5580" w:leader="none"/>
              </w:tabs>
              <w:rPr>
                <w:sz w:val="24"/>
                <w:highlight w:val="none"/>
              </w:rPr>
            </w:pPr>
            <w:r>
              <w:rPr>
                <w:sz w:val="24"/>
                <w:highlight w:val="none"/>
              </w:rPr>
            </w:r>
            <w:r/>
          </w:p>
        </w:tc>
        <w:tc>
          <w:tcPr>
            <w:tcW w:w="2852" w:type="dxa"/>
            <w:vAlign w:val="center"/>
            <w:textDirection w:val="lrTb"/>
            <w:noWrap w:val="false"/>
          </w:tcPr>
          <w:p>
            <w:pPr>
              <w:pStyle w:val="825"/>
              <w:tabs>
                <w:tab w:val="left" w:pos="5580" w:leader="none"/>
              </w:tabs>
              <w:rPr>
                <w:sz w:val="24"/>
                <w:highlight w:val="none"/>
              </w:rPr>
            </w:pPr>
            <w:r>
              <w:rPr>
                <w:sz w:val="24"/>
                <w:highlight w:val="none"/>
              </w:rPr>
            </w:r>
            <w:r/>
          </w:p>
        </w:tc>
      </w:tr>
    </w:tbl>
    <w:p>
      <w:pPr>
        <w:pStyle w:val="825"/>
        <w:jc w:val="left"/>
        <w:rPr>
          <w:color w:val="000000"/>
          <w:sz w:val="24"/>
          <w:highlight w:val="none"/>
        </w:rPr>
      </w:pPr>
      <w:r>
        <w:rPr>
          <w:color w:val="000000"/>
          <w:sz w:val="24"/>
          <w:highlight w:val="none"/>
        </w:rPr>
      </w:r>
      <w:r/>
    </w:p>
    <w:p>
      <w:pPr>
        <w:pStyle w:val="825"/>
        <w:ind w:firstLine="24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25"/>
        <w:ind w:firstLine="24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注：1.此表中，每包的投标报价应和《分项报价表》中总价相一致。</w:t>
      </w:r>
      <w:r>
        <w:rPr>
          <w:rFonts w:hint="eastAsia" w:ascii="宋体" w:hAnsi="宋体" w:eastAsia="宋体" w:cs="宋体"/>
          <w:color w:val="000000"/>
          <w:sz w:val="24"/>
          <w:highlight w:val="none"/>
        </w:rPr>
      </w:r>
      <w:r/>
    </w:p>
    <w:p>
      <w:pPr>
        <w:pStyle w:val="825"/>
        <w:ind w:firstLine="720"/>
        <w:jc w:val="left"/>
        <w:spacing w:line="360" w:lineRule="auto"/>
        <w:tabs>
          <w:tab w:val="left" w:pos="1800" w:leader="none"/>
          <w:tab w:val="left" w:pos="5580" w:leader="none"/>
        </w:tabs>
        <w:rPr>
          <w:color w:val="000000"/>
          <w:sz w:val="24"/>
          <w:highlight w:val="none"/>
          <w:lang w:val="zh-CN"/>
        </w:rPr>
      </w:pPr>
      <w:r>
        <w:rPr>
          <w:rFonts w:hint="eastAsia" w:ascii="宋体" w:hAnsi="宋体" w:eastAsia="宋体" w:cs="宋体"/>
          <w:color w:val="000000"/>
          <w:sz w:val="24"/>
          <w:highlight w:val="none"/>
        </w:rPr>
        <w:t xml:space="preserve">2.本表必须按包分别填写。</w:t>
      </w:r>
      <w:r>
        <w:rPr>
          <w:color w:val="000000"/>
          <w:sz w:val="24"/>
          <w:highlight w:val="none"/>
          <w:lang w:val="zh-CN"/>
        </w:rPr>
        <w:t xml:space="preserve">                      </w:t>
      </w:r>
      <w:r>
        <w:rPr>
          <w:color w:val="000000"/>
          <w:sz w:val="24"/>
          <w:highlight w:val="none"/>
          <w:lang w:val="zh-CN"/>
        </w:rPr>
      </w:r>
      <w:r/>
    </w:p>
    <w:p>
      <w:pPr>
        <w:pStyle w:val="825"/>
        <w:spacing w:before="25" w:after="25" w:line="360" w:lineRule="auto"/>
        <w:rPr>
          <w:color w:val="000000"/>
          <w:sz w:val="24"/>
          <w:highlight w:val="none"/>
        </w:rPr>
      </w:pPr>
      <w:r>
        <w:rPr>
          <w:color w:val="000000"/>
          <w:sz w:val="24"/>
          <w:highlight w:val="none"/>
        </w:rPr>
      </w:r>
      <w:r/>
    </w:p>
    <w:p>
      <w:pPr>
        <w:pStyle w:val="825"/>
        <w:spacing w:before="25" w:after="25" w:line="360" w:lineRule="auto"/>
        <w:rPr>
          <w:color w:val="000000"/>
          <w:sz w:val="24"/>
          <w:highlight w:val="none"/>
        </w:rPr>
      </w:pPr>
      <w:r>
        <w:rPr>
          <w:color w:val="000000"/>
          <w:sz w:val="24"/>
          <w:highlight w:val="none"/>
        </w:rPr>
      </w:r>
      <w:r/>
    </w:p>
    <w:p>
      <w:pPr>
        <w:pStyle w:val="82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82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25"/>
        <w:spacing w:line="360" w:lineRule="auto"/>
        <w:rPr>
          <w:rFonts w:hint="eastAsia"/>
          <w:color w:val="000000"/>
          <w:sz w:val="24"/>
          <w:szCs w:val="20"/>
          <w:highlight w:val="none"/>
        </w:rPr>
      </w:pPr>
      <w:r/>
      <w:bookmarkStart w:id="861" w:name="_Toc142311060"/>
      <w:r/>
      <w:bookmarkStart w:id="862" w:name="_Toc264969249"/>
      <w:r/>
      <w:bookmarkStart w:id="863" w:name="_Toc305158901"/>
      <w:r/>
      <w:bookmarkStart w:id="864" w:name="_Toc226965832"/>
      <w:r/>
      <w:bookmarkStart w:id="865" w:name="_Toc150774763"/>
      <w:r/>
      <w:bookmarkStart w:id="866" w:name="_Toc226965749"/>
      <w:r/>
      <w:bookmarkStart w:id="867" w:name="_Toc226337255"/>
      <w:r/>
      <w:bookmarkStart w:id="868" w:name="_Toc150480796"/>
      <w:r/>
      <w:bookmarkStart w:id="869" w:name="_Toc226309803"/>
      <w:r/>
      <w:bookmarkStart w:id="870" w:name="_Toc265228397"/>
      <w:r/>
      <w:bookmarkStart w:id="871" w:name="_Toc195842924"/>
      <w:r/>
      <w:bookmarkStart w:id="872" w:name="_Toc127151558"/>
      <w:r/>
      <w:bookmarkStart w:id="873" w:name="_Toc305158827"/>
      <w:r>
        <w:rPr>
          <w:color w:val="000000"/>
          <w:sz w:val="24"/>
          <w:szCs w:val="20"/>
          <w:highlight w:val="none"/>
        </w:rPr>
        <w:br w:type="page" w:clear="all"/>
      </w:r>
      <w:r>
        <w:rPr>
          <w:rFonts w:hint="eastAsia"/>
          <w:color w:val="000000"/>
          <w:sz w:val="24"/>
          <w:szCs w:val="20"/>
          <w:highlight w:val="none"/>
          <w:lang w:val="en-US" w:eastAsia="zh-CN"/>
        </w:rPr>
        <w:t xml:space="preserve">5 </w:t>
      </w:r>
      <w:r>
        <w:rPr>
          <w:rFonts w:hint="eastAsia"/>
          <w:color w:val="000000"/>
          <w:sz w:val="24"/>
          <w:szCs w:val="20"/>
          <w:highlight w:val="none"/>
        </w:rPr>
        <w:t xml:space="preserve">分项报价表</w:t>
      </w:r>
      <w:r>
        <w:rPr>
          <w:rFonts w:hint="eastAsia"/>
          <w:color w:val="000000"/>
          <w:sz w:val="24"/>
          <w:szCs w:val="20"/>
          <w:highlight w:val="none"/>
        </w:rPr>
      </w:r>
      <w:r/>
    </w:p>
    <w:p>
      <w:pPr>
        <w:pStyle w:val="825"/>
        <w:jc w:val="center"/>
        <w:spacing w:line="360" w:lineRule="auto"/>
        <w:rPr>
          <w:rFonts w:hint="eastAsia"/>
          <w:color w:val="000000"/>
          <w:sz w:val="24"/>
          <w:szCs w:val="20"/>
          <w:highlight w:val="none"/>
        </w:rPr>
      </w:pPr>
      <w:r>
        <w:rPr>
          <w:rFonts w:hint="eastAsia" w:ascii="Times New Roman" w:hAnsi="Times New Roman" w:eastAsia="宋体" w:cs="Times New Roman"/>
          <w:b/>
          <w:color w:val="000000"/>
          <w:sz w:val="36"/>
          <w:szCs w:val="36"/>
          <w:highlight w:val="none"/>
        </w:rPr>
        <w:t xml:space="preserve">分项报价表</w:t>
      </w:r>
      <w:r>
        <w:rPr>
          <w:rFonts w:hint="eastAsia"/>
          <w:color w:val="000000"/>
          <w:sz w:val="24"/>
          <w:szCs w:val="20"/>
          <w:highlight w:val="none"/>
        </w:rPr>
      </w:r>
      <w:r/>
    </w:p>
    <w:p>
      <w:pPr>
        <w:pStyle w:val="825"/>
        <w:spacing w:line="360" w:lineRule="auto"/>
        <w:rPr>
          <w:rFonts w:hint="eastAsia"/>
          <w:color w:val="000000"/>
          <w:sz w:val="24"/>
          <w:szCs w:val="20"/>
          <w:highlight w:val="none"/>
        </w:rPr>
      </w:pPr>
      <w:r>
        <w:rPr>
          <w:rFonts w:hint="eastAsia"/>
          <w:color w:val="000000"/>
          <w:sz w:val="24"/>
          <w:szCs w:val="20"/>
          <w:highlight w:val="none"/>
        </w:rPr>
      </w:r>
      <w:r/>
    </w:p>
    <w:p>
      <w:pPr>
        <w:pStyle w:val="825"/>
        <w:spacing w:line="360" w:lineRule="auto"/>
        <w:rPr>
          <w:rFonts w:hint="eastAsia"/>
          <w:color w:val="000000"/>
          <w:sz w:val="24"/>
          <w:szCs w:val="20"/>
          <w:highlight w:val="none"/>
        </w:rPr>
      </w:pPr>
      <w:r>
        <w:rPr>
          <w:rFonts w:hint="eastAsia"/>
          <w:color w:val="000000"/>
          <w:sz w:val="24"/>
          <w:szCs w:val="20"/>
          <w:highlight w:val="none"/>
        </w:rPr>
      </w:r>
      <w:r/>
    </w:p>
    <w:p>
      <w:pPr>
        <w:pStyle w:val="825"/>
        <w:spacing w:line="360" w:lineRule="auto"/>
        <w:rPr>
          <w:rFonts w:hint="eastAsia"/>
          <w:color w:val="000000"/>
          <w:sz w:val="24"/>
          <w:szCs w:val="20"/>
          <w:highlight w:val="none"/>
        </w:rPr>
      </w:pPr>
      <w:r>
        <w:rPr>
          <w:rFonts w:hint="eastAsia"/>
          <w:color w:val="000000"/>
          <w:sz w:val="24"/>
          <w:szCs w:val="20"/>
          <w:highlight w:val="none"/>
        </w:rPr>
      </w:r>
      <w:r/>
    </w:p>
    <w:p>
      <w:pPr>
        <w:pStyle w:val="825"/>
        <w:spacing w:line="360" w:lineRule="auto"/>
        <w:rPr>
          <w:rFonts w:hint="eastAsia"/>
          <w:color w:val="000000"/>
          <w:sz w:val="24"/>
          <w:szCs w:val="20"/>
          <w:highlight w:val="none"/>
        </w:rPr>
      </w:pPr>
      <w:r>
        <w:rPr>
          <w:rFonts w:hint="eastAsia"/>
          <w:color w:val="000000"/>
          <w:sz w:val="24"/>
          <w:szCs w:val="20"/>
          <w:highlight w:val="none"/>
        </w:rPr>
        <w:t xml:space="preserve">项目编号/包号：___________ 项目名称：__________    报价单位：人民币元</w:t>
      </w:r>
      <w:r>
        <w:rPr>
          <w:rFonts w:hint="eastAsia"/>
          <w:color w:val="000000"/>
          <w:sz w:val="24"/>
          <w:szCs w:val="20"/>
          <w:highlight w:val="none"/>
        </w:rPr>
      </w:r>
      <w:r/>
    </w:p>
    <w:p>
      <w:pPr>
        <w:pStyle w:val="825"/>
        <w:spacing w:line="360" w:lineRule="auto"/>
        <w:rPr>
          <w:rFonts w:hint="eastAsia"/>
          <w:color w:val="000000"/>
          <w:sz w:val="24"/>
          <w:szCs w:val="20"/>
          <w:highlight w:val="none"/>
        </w:rPr>
      </w:pPr>
      <w:r>
        <w:rPr>
          <w:rFonts w:hint="eastAsia"/>
          <w:color w:val="000000"/>
          <w:sz w:val="24"/>
          <w:szCs w:val="20"/>
          <w:highlight w:val="none"/>
        </w:rPr>
      </w:r>
      <w:r/>
    </w:p>
    <w:p>
      <w:pPr>
        <w:pStyle w:val="825"/>
        <w:spacing w:line="360" w:lineRule="auto"/>
        <w:rPr>
          <w:rFonts w:hint="eastAsia"/>
          <w:color w:val="000000"/>
          <w:sz w:val="24"/>
          <w:szCs w:val="20"/>
          <w:highlight w:val="none"/>
        </w:rPr>
      </w:pPr>
      <w:r>
        <w:rPr>
          <w:rFonts w:hint="eastAsia"/>
          <w:color w:val="000000"/>
          <w:sz w:val="24"/>
          <w:szCs w:val="20"/>
          <w:highlight w:val="none"/>
        </w:rPr>
      </w:r>
      <w:r/>
    </w:p>
    <w:p>
      <w:pPr>
        <w:pStyle w:val="825"/>
        <w:spacing w:line="360" w:lineRule="auto"/>
        <w:rPr>
          <w:rFonts w:hint="eastAsia"/>
          <w:color w:val="000000"/>
          <w:sz w:val="24"/>
          <w:szCs w:val="20"/>
          <w:highlight w:val="none"/>
        </w:rPr>
      </w:pPr>
      <w:r>
        <w:rPr>
          <w:rFonts w:hint="eastAsia"/>
          <w:color w:val="000000"/>
          <w:sz w:val="24"/>
          <w:szCs w:val="20"/>
          <w:highlight w:val="none"/>
        </w:rPr>
      </w:r>
      <w:r/>
    </w:p>
    <w:p>
      <w:pPr>
        <w:pStyle w:val="825"/>
        <w:jc w:val="center"/>
        <w:spacing w:line="360" w:lineRule="auto"/>
        <w:rPr>
          <w:rFonts w:hint="eastAsia" w:eastAsia="宋体"/>
          <w:color w:val="000000"/>
          <w:sz w:val="24"/>
          <w:szCs w:val="20"/>
          <w:highlight w:val="none"/>
          <w:lang w:val="en-US" w:eastAsia="zh-CN"/>
        </w:rPr>
      </w:pPr>
      <w:r>
        <w:rPr>
          <w:rFonts w:hint="eastAsia"/>
          <w:b/>
          <w:bCs/>
          <w:color w:val="000000"/>
          <w:sz w:val="24"/>
          <w:szCs w:val="20"/>
          <w:highlight w:val="none"/>
        </w:rPr>
        <w:t xml:space="preserve">详见2026年滨开区绿化管护服务清单</w:t>
      </w:r>
      <w:r>
        <w:rPr>
          <w:rFonts w:hint="eastAsia"/>
          <w:b/>
          <w:bCs/>
          <w:color w:val="000000"/>
          <w:sz w:val="24"/>
          <w:szCs w:val="20"/>
          <w:highlight w:val="none"/>
          <w:lang w:val="en-US" w:eastAsia="zh-CN"/>
        </w:rPr>
        <w:t xml:space="preserve">报价表</w:t>
      </w:r>
      <w:r>
        <w:rPr>
          <w:rFonts w:hint="eastAsia" w:eastAsia="宋体"/>
          <w:color w:val="000000"/>
          <w:sz w:val="24"/>
          <w:szCs w:val="20"/>
          <w:highlight w:val="none"/>
          <w:lang w:val="en-US" w:eastAsia="zh-CN"/>
        </w:rPr>
      </w:r>
      <w:r/>
    </w:p>
    <w:p>
      <w:pPr>
        <w:pStyle w:val="825"/>
        <w:spacing w:line="360" w:lineRule="auto"/>
        <w:rPr>
          <w:rFonts w:hint="eastAsia"/>
          <w:color w:val="000000"/>
          <w:sz w:val="24"/>
          <w:szCs w:val="20"/>
          <w:highlight w:val="none"/>
        </w:rPr>
      </w:pPr>
      <w:r>
        <w:rPr>
          <w:rFonts w:hint="eastAsia"/>
          <w:color w:val="000000"/>
          <w:sz w:val="24"/>
          <w:szCs w:val="20"/>
          <w:highlight w:val="none"/>
        </w:rPr>
      </w:r>
      <w:r/>
    </w:p>
    <w:p>
      <w:pPr>
        <w:pStyle w:val="825"/>
        <w:spacing w:line="360" w:lineRule="auto"/>
        <w:rPr>
          <w:rFonts w:hint="eastAsia"/>
          <w:color w:val="000000"/>
          <w:sz w:val="24"/>
          <w:szCs w:val="20"/>
          <w:highlight w:val="none"/>
        </w:rPr>
      </w:pPr>
      <w:r>
        <w:rPr>
          <w:rFonts w:hint="eastAsia"/>
          <w:color w:val="000000"/>
          <w:sz w:val="24"/>
          <w:szCs w:val="20"/>
          <w:highlight w:val="none"/>
        </w:rPr>
      </w:r>
      <w:r/>
    </w:p>
    <w:p>
      <w:pPr>
        <w:pStyle w:val="825"/>
        <w:spacing w:line="360" w:lineRule="auto"/>
        <w:rPr>
          <w:rFonts w:hint="eastAsia"/>
          <w:color w:val="000000"/>
          <w:sz w:val="24"/>
          <w:szCs w:val="20"/>
          <w:highlight w:val="none"/>
        </w:rPr>
      </w:pPr>
      <w:r>
        <w:rPr>
          <w:rFonts w:hint="eastAsia"/>
          <w:color w:val="000000"/>
          <w:sz w:val="24"/>
          <w:szCs w:val="20"/>
          <w:highlight w:val="none"/>
        </w:rPr>
        <w:t xml:space="preserve">供应商名称（加盖公章）：____________</w:t>
      </w:r>
      <w:r>
        <w:rPr>
          <w:rFonts w:hint="eastAsia"/>
          <w:color w:val="000000"/>
          <w:sz w:val="24"/>
          <w:szCs w:val="20"/>
          <w:highlight w:val="none"/>
        </w:rPr>
      </w:r>
      <w:r/>
    </w:p>
    <w:p>
      <w:pPr>
        <w:pStyle w:val="825"/>
        <w:spacing w:line="360" w:lineRule="auto"/>
        <w:rPr>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szCs w:val="20"/>
          <w:highlight w:val="none"/>
        </w:rPr>
        <w:t xml:space="preserve">日期：_____年______月______日</w:t>
      </w:r>
      <w:r>
        <w:rPr>
          <w:color w:val="000000"/>
          <w:sz w:val="24"/>
          <w:szCs w:val="20"/>
          <w:highlight w:val="none"/>
        </w:rPr>
      </w:r>
      <w:r/>
    </w:p>
    <w:p>
      <w:pPr>
        <w:pStyle w:val="825"/>
        <w:spacing w:line="360" w:lineRule="auto"/>
        <w:rPr>
          <w:color w:val="000000"/>
          <w:sz w:val="24"/>
          <w:szCs w:val="20"/>
          <w:highlight w:val="none"/>
        </w:rPr>
      </w:pPr>
      <w:r>
        <w:rPr>
          <w:rFonts w:hint="eastAsia"/>
          <w:color w:val="000000"/>
          <w:sz w:val="24"/>
          <w:szCs w:val="20"/>
          <w:highlight w:val="none"/>
          <w:lang w:val="en-US" w:eastAsia="zh-CN"/>
        </w:rPr>
        <w:t xml:space="preserve">6</w:t>
      </w:r>
      <w:r>
        <w:rPr>
          <w:color w:val="000000"/>
          <w:sz w:val="24"/>
          <w:szCs w:val="20"/>
          <w:highlight w:val="none"/>
        </w:rPr>
        <w:t xml:space="preserve"> </w:t>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Start w:id="874" w:name="_Toc226309806"/>
      <w:r/>
      <w:bookmarkStart w:id="875" w:name="_Toc150774765"/>
      <w:r/>
      <w:bookmarkStart w:id="876" w:name="_Toc305158830"/>
      <w:r/>
      <w:bookmarkStart w:id="877" w:name="_Toc226965835"/>
      <w:r/>
      <w:bookmarkStart w:id="878" w:name="_Toc305158904"/>
      <w:r/>
      <w:bookmarkStart w:id="879" w:name="_Toc127151562"/>
      <w:r/>
      <w:bookmarkStart w:id="880" w:name="_Toc226337258"/>
      <w:r/>
      <w:bookmarkStart w:id="881" w:name="_Toc150480798"/>
      <w:r/>
      <w:bookmarkStart w:id="882" w:name="_Toc265228400"/>
      <w:r/>
      <w:bookmarkStart w:id="883" w:name="_Toc264969252"/>
      <w:r/>
      <w:bookmarkStart w:id="884" w:name="_Toc226965752"/>
      <w:r/>
      <w:bookmarkStart w:id="885" w:name="_Toc195842927"/>
      <w:r/>
      <w:bookmarkStart w:id="886" w:name="_Toc142311062"/>
      <w:r/>
      <w:bookmarkStart w:id="887" w:name="_Toc127151561"/>
      <w:r/>
      <w:bookmarkStart w:id="888" w:name="_Toc264969251"/>
      <w:r/>
      <w:bookmarkStart w:id="889" w:name="_Toc150480797"/>
      <w:r/>
      <w:bookmarkStart w:id="890" w:name="_Toc305158903"/>
      <w:r/>
      <w:bookmarkStart w:id="891" w:name="_Toc226965751"/>
      <w:r/>
      <w:bookmarkStart w:id="892" w:name="_Toc226309805"/>
      <w:r/>
      <w:bookmarkStart w:id="893" w:name="_Toc142311061"/>
      <w:r/>
      <w:bookmarkStart w:id="894" w:name="_Toc305158829"/>
      <w:r/>
      <w:bookmarkStart w:id="895" w:name="_Toc195842926"/>
      <w:r/>
      <w:bookmarkStart w:id="896" w:name="_Toc226337257"/>
      <w:r/>
      <w:bookmarkStart w:id="897" w:name="_Toc150774764"/>
      <w:r/>
      <w:bookmarkStart w:id="898" w:name="_Toc226965834"/>
      <w:r/>
      <w:bookmarkStart w:id="899" w:name="_Toc265228399"/>
      <w:r>
        <w:rPr>
          <w:color w:val="000000"/>
          <w:sz w:val="24"/>
          <w:szCs w:val="20"/>
          <w:highlight w:val="none"/>
        </w:rPr>
        <w:t xml:space="preserve">  合同条款偏离表</w:t>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color w:val="000000"/>
          <w:sz w:val="24"/>
          <w:szCs w:val="20"/>
          <w:highlight w:val="none"/>
        </w:rPr>
        <w:t xml:space="preserve">（实质性格式）</w:t>
      </w:r>
      <w:r>
        <w:rPr>
          <w:color w:val="000000"/>
          <w:sz w:val="24"/>
          <w:szCs w:val="20"/>
          <w:highlight w:val="none"/>
        </w:rPr>
      </w:r>
      <w:r/>
    </w:p>
    <w:p>
      <w:pPr>
        <w:pStyle w:val="825"/>
        <w:spacing w:line="360" w:lineRule="auto"/>
        <w:rPr>
          <w:color w:val="000000"/>
          <w:sz w:val="24"/>
          <w:szCs w:val="20"/>
          <w:highlight w:val="none"/>
        </w:rPr>
      </w:pPr>
      <w:r>
        <w:rPr>
          <w:color w:val="000000"/>
          <w:sz w:val="24"/>
          <w:szCs w:val="20"/>
          <w:highlight w:val="none"/>
        </w:rPr>
      </w:r>
      <w:r/>
    </w:p>
    <w:p>
      <w:pPr>
        <w:pStyle w:val="825"/>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825"/>
        <w:spacing w:line="360" w:lineRule="auto"/>
        <w:rPr>
          <w:color w:val="000000"/>
          <w:sz w:val="24"/>
          <w:szCs w:val="20"/>
          <w:highlight w:val="none"/>
        </w:rPr>
      </w:pPr>
      <w:r>
        <w:rPr>
          <w:color w:val="000000"/>
          <w:sz w:val="24"/>
          <w:szCs w:val="20"/>
          <w:highlight w:val="none"/>
        </w:rPr>
      </w:r>
      <w:r/>
    </w:p>
    <w:p>
      <w:pPr>
        <w:pStyle w:val="825"/>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25"/>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825"/>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825"/>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825"/>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825"/>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825"/>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825"/>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825"/>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82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825"/>
              <w:jc w:val="center"/>
              <w:rPr>
                <w:color w:val="000000"/>
                <w:sz w:val="24"/>
                <w:highlight w:val="none"/>
              </w:rPr>
            </w:pPr>
            <w:r>
              <w:rPr>
                <w:color w:val="000000"/>
                <w:sz w:val="24"/>
                <w:highlight w:val="none"/>
              </w:rPr>
            </w:r>
            <w:r/>
          </w:p>
        </w:tc>
        <w:tc>
          <w:tcPr>
            <w:tcW w:w="1301" w:type="dxa"/>
            <w:vAlign w:val="center"/>
            <w:textDirection w:val="lrTb"/>
            <w:noWrap w:val="false"/>
          </w:tcPr>
          <w:p>
            <w:pPr>
              <w:pStyle w:val="825"/>
              <w:jc w:val="center"/>
              <w:rPr>
                <w:color w:val="000000"/>
                <w:sz w:val="24"/>
                <w:highlight w:val="none"/>
              </w:rPr>
            </w:pPr>
            <w:r>
              <w:rPr>
                <w:color w:val="000000"/>
                <w:sz w:val="24"/>
                <w:highlight w:val="none"/>
              </w:rPr>
            </w:r>
            <w:r/>
          </w:p>
        </w:tc>
        <w:tc>
          <w:tcPr>
            <w:tcW w:w="2007" w:type="dxa"/>
            <w:vAlign w:val="center"/>
            <w:textDirection w:val="lrTb"/>
            <w:noWrap w:val="false"/>
          </w:tcPr>
          <w:p>
            <w:pPr>
              <w:pStyle w:val="825"/>
              <w:jc w:val="center"/>
              <w:rPr>
                <w:color w:val="000000"/>
                <w:sz w:val="24"/>
                <w:highlight w:val="none"/>
              </w:rPr>
            </w:pPr>
            <w:r>
              <w:rPr>
                <w:color w:val="000000"/>
                <w:sz w:val="24"/>
                <w:highlight w:val="none"/>
              </w:rPr>
            </w:r>
            <w:r/>
          </w:p>
        </w:tc>
        <w:tc>
          <w:tcPr>
            <w:tcW w:w="2008" w:type="dxa"/>
            <w:vAlign w:val="center"/>
            <w:textDirection w:val="lrTb"/>
            <w:noWrap w:val="false"/>
          </w:tcPr>
          <w:p>
            <w:pPr>
              <w:pStyle w:val="825"/>
              <w:jc w:val="center"/>
              <w:rPr>
                <w:color w:val="000000"/>
                <w:sz w:val="24"/>
                <w:highlight w:val="none"/>
              </w:rPr>
            </w:pPr>
            <w:r>
              <w:rPr>
                <w:color w:val="000000"/>
                <w:sz w:val="24"/>
                <w:highlight w:val="none"/>
              </w:rPr>
            </w:r>
            <w:r/>
          </w:p>
        </w:tc>
        <w:tc>
          <w:tcPr>
            <w:tcW w:w="2458" w:type="dxa"/>
            <w:vAlign w:val="center"/>
            <w:textDirection w:val="lrTb"/>
            <w:noWrap w:val="false"/>
          </w:tcPr>
          <w:p>
            <w:pPr>
              <w:pStyle w:val="825"/>
              <w:jc w:val="center"/>
              <w:rPr>
                <w:color w:val="000000"/>
                <w:sz w:val="24"/>
                <w:highlight w:val="none"/>
              </w:rPr>
            </w:pPr>
            <w:r>
              <w:rPr>
                <w:color w:val="000000"/>
                <w:sz w:val="24"/>
                <w:highlight w:val="none"/>
              </w:rPr>
            </w:r>
            <w:r/>
          </w:p>
        </w:tc>
        <w:tc>
          <w:tcPr>
            <w:tcW w:w="788" w:type="dxa"/>
            <w:vAlign w:val="center"/>
            <w:textDirection w:val="lrTb"/>
            <w:noWrap w:val="false"/>
          </w:tcPr>
          <w:p>
            <w:pPr>
              <w:pStyle w:val="82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25"/>
              <w:jc w:val="center"/>
              <w:rPr>
                <w:color w:val="000000"/>
                <w:sz w:val="24"/>
                <w:highlight w:val="none"/>
              </w:rPr>
            </w:pPr>
            <w:r>
              <w:rPr>
                <w:color w:val="000000"/>
                <w:sz w:val="24"/>
                <w:highlight w:val="none"/>
              </w:rPr>
            </w:r>
            <w:r/>
          </w:p>
        </w:tc>
        <w:tc>
          <w:tcPr>
            <w:tcW w:w="1301" w:type="dxa"/>
            <w:vAlign w:val="center"/>
            <w:textDirection w:val="lrTb"/>
            <w:noWrap w:val="false"/>
          </w:tcPr>
          <w:p>
            <w:pPr>
              <w:pStyle w:val="825"/>
              <w:jc w:val="center"/>
              <w:rPr>
                <w:color w:val="000000"/>
                <w:sz w:val="24"/>
                <w:highlight w:val="none"/>
              </w:rPr>
            </w:pPr>
            <w:r>
              <w:rPr>
                <w:color w:val="000000"/>
                <w:sz w:val="24"/>
                <w:highlight w:val="none"/>
              </w:rPr>
            </w:r>
            <w:r/>
          </w:p>
        </w:tc>
        <w:tc>
          <w:tcPr>
            <w:tcW w:w="2007" w:type="dxa"/>
            <w:vAlign w:val="center"/>
            <w:textDirection w:val="lrTb"/>
            <w:noWrap w:val="false"/>
          </w:tcPr>
          <w:p>
            <w:pPr>
              <w:pStyle w:val="825"/>
              <w:jc w:val="center"/>
              <w:rPr>
                <w:color w:val="000000"/>
                <w:sz w:val="24"/>
                <w:highlight w:val="none"/>
              </w:rPr>
            </w:pPr>
            <w:r>
              <w:rPr>
                <w:color w:val="000000"/>
                <w:sz w:val="24"/>
                <w:highlight w:val="none"/>
              </w:rPr>
            </w:r>
            <w:r/>
          </w:p>
        </w:tc>
        <w:tc>
          <w:tcPr>
            <w:tcW w:w="2008" w:type="dxa"/>
            <w:vAlign w:val="center"/>
            <w:textDirection w:val="lrTb"/>
            <w:noWrap w:val="false"/>
          </w:tcPr>
          <w:p>
            <w:pPr>
              <w:pStyle w:val="825"/>
              <w:jc w:val="center"/>
              <w:rPr>
                <w:color w:val="000000"/>
                <w:sz w:val="24"/>
                <w:highlight w:val="none"/>
              </w:rPr>
            </w:pPr>
            <w:r>
              <w:rPr>
                <w:color w:val="000000"/>
                <w:sz w:val="24"/>
                <w:highlight w:val="none"/>
              </w:rPr>
            </w:r>
            <w:r/>
          </w:p>
        </w:tc>
        <w:tc>
          <w:tcPr>
            <w:tcW w:w="2458" w:type="dxa"/>
            <w:vAlign w:val="center"/>
            <w:textDirection w:val="lrTb"/>
            <w:noWrap w:val="false"/>
          </w:tcPr>
          <w:p>
            <w:pPr>
              <w:pStyle w:val="825"/>
              <w:jc w:val="center"/>
              <w:rPr>
                <w:color w:val="000000"/>
                <w:sz w:val="24"/>
                <w:highlight w:val="none"/>
              </w:rPr>
            </w:pPr>
            <w:r>
              <w:rPr>
                <w:color w:val="000000"/>
                <w:sz w:val="24"/>
                <w:highlight w:val="none"/>
              </w:rPr>
            </w:r>
            <w:r/>
          </w:p>
        </w:tc>
        <w:tc>
          <w:tcPr>
            <w:tcW w:w="788" w:type="dxa"/>
            <w:vAlign w:val="center"/>
            <w:textDirection w:val="lrTb"/>
            <w:noWrap w:val="false"/>
          </w:tcPr>
          <w:p>
            <w:pPr>
              <w:pStyle w:val="82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25"/>
              <w:jc w:val="center"/>
              <w:rPr>
                <w:color w:val="000000"/>
                <w:sz w:val="24"/>
                <w:highlight w:val="none"/>
              </w:rPr>
            </w:pPr>
            <w:r>
              <w:rPr>
                <w:color w:val="000000"/>
                <w:sz w:val="24"/>
                <w:highlight w:val="none"/>
              </w:rPr>
            </w:r>
            <w:r/>
          </w:p>
        </w:tc>
        <w:tc>
          <w:tcPr>
            <w:tcW w:w="1301" w:type="dxa"/>
            <w:vAlign w:val="center"/>
            <w:textDirection w:val="lrTb"/>
            <w:noWrap w:val="false"/>
          </w:tcPr>
          <w:p>
            <w:pPr>
              <w:pStyle w:val="825"/>
              <w:jc w:val="center"/>
              <w:rPr>
                <w:color w:val="000000"/>
                <w:sz w:val="24"/>
                <w:highlight w:val="none"/>
              </w:rPr>
            </w:pPr>
            <w:r>
              <w:rPr>
                <w:color w:val="000000"/>
                <w:sz w:val="24"/>
                <w:highlight w:val="none"/>
              </w:rPr>
            </w:r>
            <w:r/>
          </w:p>
        </w:tc>
        <w:tc>
          <w:tcPr>
            <w:tcW w:w="2007" w:type="dxa"/>
            <w:vAlign w:val="center"/>
            <w:textDirection w:val="lrTb"/>
            <w:noWrap w:val="false"/>
          </w:tcPr>
          <w:p>
            <w:pPr>
              <w:pStyle w:val="825"/>
              <w:jc w:val="center"/>
              <w:rPr>
                <w:color w:val="000000"/>
                <w:sz w:val="24"/>
                <w:highlight w:val="none"/>
              </w:rPr>
            </w:pPr>
            <w:r>
              <w:rPr>
                <w:color w:val="000000"/>
                <w:sz w:val="24"/>
                <w:highlight w:val="none"/>
              </w:rPr>
            </w:r>
            <w:r/>
          </w:p>
        </w:tc>
        <w:tc>
          <w:tcPr>
            <w:tcW w:w="2008" w:type="dxa"/>
            <w:vAlign w:val="center"/>
            <w:textDirection w:val="lrTb"/>
            <w:noWrap w:val="false"/>
          </w:tcPr>
          <w:p>
            <w:pPr>
              <w:pStyle w:val="825"/>
              <w:jc w:val="center"/>
              <w:rPr>
                <w:color w:val="000000"/>
                <w:sz w:val="24"/>
                <w:highlight w:val="none"/>
              </w:rPr>
            </w:pPr>
            <w:r>
              <w:rPr>
                <w:color w:val="000000"/>
                <w:sz w:val="24"/>
                <w:highlight w:val="none"/>
              </w:rPr>
            </w:r>
            <w:r/>
          </w:p>
        </w:tc>
        <w:tc>
          <w:tcPr>
            <w:tcW w:w="2458" w:type="dxa"/>
            <w:vAlign w:val="center"/>
            <w:textDirection w:val="lrTb"/>
            <w:noWrap w:val="false"/>
          </w:tcPr>
          <w:p>
            <w:pPr>
              <w:pStyle w:val="825"/>
              <w:jc w:val="center"/>
              <w:rPr>
                <w:color w:val="000000"/>
                <w:sz w:val="24"/>
                <w:highlight w:val="none"/>
              </w:rPr>
            </w:pPr>
            <w:r>
              <w:rPr>
                <w:color w:val="000000"/>
                <w:sz w:val="24"/>
                <w:highlight w:val="none"/>
              </w:rPr>
            </w:r>
            <w:r/>
          </w:p>
        </w:tc>
        <w:tc>
          <w:tcPr>
            <w:tcW w:w="788" w:type="dxa"/>
            <w:vAlign w:val="center"/>
            <w:textDirection w:val="lrTb"/>
            <w:noWrap w:val="false"/>
          </w:tcPr>
          <w:p>
            <w:pPr>
              <w:pStyle w:val="82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25"/>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825"/>
              <w:jc w:val="center"/>
              <w:rPr>
                <w:color w:val="000000"/>
                <w:sz w:val="24"/>
                <w:highlight w:val="none"/>
              </w:rPr>
            </w:pPr>
            <w:r>
              <w:rPr>
                <w:color w:val="000000"/>
                <w:sz w:val="24"/>
                <w:highlight w:val="none"/>
              </w:rPr>
            </w:r>
            <w:r/>
          </w:p>
        </w:tc>
        <w:tc>
          <w:tcPr>
            <w:tcW w:w="2007" w:type="dxa"/>
            <w:vAlign w:val="center"/>
            <w:textDirection w:val="lrTb"/>
            <w:noWrap w:val="false"/>
          </w:tcPr>
          <w:p>
            <w:pPr>
              <w:pStyle w:val="825"/>
              <w:jc w:val="center"/>
              <w:rPr>
                <w:color w:val="000000"/>
                <w:sz w:val="24"/>
                <w:highlight w:val="none"/>
              </w:rPr>
            </w:pPr>
            <w:r>
              <w:rPr>
                <w:color w:val="000000"/>
                <w:sz w:val="24"/>
                <w:highlight w:val="none"/>
              </w:rPr>
            </w:r>
            <w:r/>
          </w:p>
        </w:tc>
        <w:tc>
          <w:tcPr>
            <w:tcW w:w="2008" w:type="dxa"/>
            <w:vAlign w:val="center"/>
            <w:textDirection w:val="lrTb"/>
            <w:noWrap w:val="false"/>
          </w:tcPr>
          <w:p>
            <w:pPr>
              <w:pStyle w:val="825"/>
              <w:jc w:val="center"/>
              <w:rPr>
                <w:color w:val="000000"/>
                <w:sz w:val="24"/>
                <w:highlight w:val="none"/>
              </w:rPr>
            </w:pPr>
            <w:r>
              <w:rPr>
                <w:color w:val="000000"/>
                <w:sz w:val="24"/>
                <w:highlight w:val="none"/>
              </w:rPr>
            </w:r>
            <w:r/>
          </w:p>
        </w:tc>
        <w:tc>
          <w:tcPr>
            <w:tcW w:w="2458" w:type="dxa"/>
            <w:vAlign w:val="center"/>
            <w:textDirection w:val="lrTb"/>
            <w:noWrap w:val="false"/>
          </w:tcPr>
          <w:p>
            <w:pPr>
              <w:pStyle w:val="825"/>
              <w:jc w:val="center"/>
              <w:rPr>
                <w:color w:val="000000"/>
                <w:sz w:val="24"/>
                <w:highlight w:val="none"/>
              </w:rPr>
            </w:pPr>
            <w:r>
              <w:rPr>
                <w:color w:val="000000"/>
                <w:sz w:val="24"/>
                <w:highlight w:val="none"/>
              </w:rPr>
            </w:r>
            <w:r/>
          </w:p>
        </w:tc>
        <w:tc>
          <w:tcPr>
            <w:tcW w:w="788" w:type="dxa"/>
            <w:vAlign w:val="center"/>
            <w:textDirection w:val="lrTb"/>
            <w:noWrap w:val="false"/>
          </w:tcPr>
          <w:p>
            <w:pPr>
              <w:pStyle w:val="825"/>
              <w:jc w:val="center"/>
              <w:rPr>
                <w:color w:val="000000"/>
                <w:sz w:val="24"/>
                <w:highlight w:val="none"/>
              </w:rPr>
            </w:pPr>
            <w:r>
              <w:rPr>
                <w:color w:val="000000"/>
                <w:sz w:val="24"/>
                <w:highlight w:val="none"/>
              </w:rPr>
            </w:r>
            <w:r/>
          </w:p>
        </w:tc>
      </w:tr>
    </w:tbl>
    <w:p>
      <w:pPr>
        <w:pStyle w:val="825"/>
        <w:jc w:val="left"/>
        <w:tabs>
          <w:tab w:val="left" w:pos="1800" w:leader="none"/>
          <w:tab w:val="left" w:pos="5580" w:leader="none"/>
        </w:tabs>
        <w:rPr>
          <w:color w:val="000000"/>
          <w:sz w:val="24"/>
          <w:highlight w:val="none"/>
        </w:rPr>
      </w:pPr>
      <w:r>
        <w:rPr>
          <w:color w:val="000000"/>
          <w:sz w:val="24"/>
          <w:highlight w:val="none"/>
        </w:rPr>
      </w:r>
      <w:r/>
    </w:p>
    <w:p>
      <w:pPr>
        <w:pStyle w:val="82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25"/>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825"/>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825"/>
        <w:spacing w:line="360" w:lineRule="auto"/>
        <w:rPr>
          <w:color w:val="000000"/>
          <w:sz w:val="24"/>
          <w:szCs w:val="20"/>
          <w:highlight w:val="none"/>
        </w:rPr>
      </w:pPr>
      <w:r>
        <w:rPr>
          <w:color w:val="000000"/>
          <w:sz w:val="24"/>
          <w:szCs w:val="20"/>
          <w:highlight w:val="none"/>
        </w:rPr>
      </w:r>
      <w:r/>
    </w:p>
    <w:p>
      <w:pPr>
        <w:pStyle w:val="82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2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2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25"/>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7 </w:t>
      </w:r>
      <w:r>
        <w:rPr>
          <w:color w:val="000000"/>
          <w:sz w:val="24"/>
          <w:szCs w:val="20"/>
          <w:highlight w:val="none"/>
        </w:rPr>
        <w:t xml:space="preserve"> </w:t>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Pr>
          <w:color w:val="000000"/>
          <w:sz w:val="24"/>
          <w:szCs w:val="20"/>
          <w:highlight w:val="none"/>
        </w:rPr>
        <w:t xml:space="preserve">采购需求偏离表（实质性格式）</w:t>
      </w:r>
      <w:r>
        <w:rPr>
          <w:color w:val="000000"/>
          <w:sz w:val="24"/>
          <w:szCs w:val="20"/>
          <w:highlight w:val="none"/>
        </w:rPr>
      </w:r>
      <w:r/>
    </w:p>
    <w:p>
      <w:pPr>
        <w:pStyle w:val="825"/>
        <w:jc w:val="center"/>
        <w:spacing w:line="360" w:lineRule="auto"/>
        <w:rPr>
          <w:rFonts w:hint="eastAsia"/>
          <w:b/>
          <w:color w:val="000000"/>
          <w:sz w:val="36"/>
          <w:szCs w:val="36"/>
          <w:highlight w:val="none"/>
        </w:rPr>
      </w:pPr>
      <w:r>
        <w:rPr>
          <w:rFonts w:hint="eastAsia"/>
          <w:b/>
          <w:color w:val="000000"/>
          <w:sz w:val="36"/>
          <w:szCs w:val="36"/>
          <w:highlight w:val="none"/>
        </w:rPr>
      </w:r>
      <w:r/>
    </w:p>
    <w:p>
      <w:pPr>
        <w:pStyle w:val="825"/>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825"/>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825"/>
              <w:jc w:val="left"/>
              <w:rPr>
                <w:b/>
                <w:color w:val="000000"/>
                <w:sz w:val="24"/>
                <w:highlight w:val="none"/>
              </w:rPr>
            </w:pPr>
            <w:r>
              <w:rPr>
                <w:rFonts w:hint="eastAsia"/>
                <w:b/>
                <w:color w:val="000000"/>
                <w:sz w:val="24"/>
                <w:highlight w:val="none"/>
              </w:rPr>
              <w:t xml:space="preserve">对本项目</w:t>
            </w:r>
            <w:r>
              <w:rPr>
                <w:rFonts w:hint="eastAsia"/>
                <w:b/>
                <w:color w:val="000000"/>
                <w:sz w:val="24"/>
                <w:highlight w:val="none"/>
                <w:lang w:val="en-US" w:eastAsia="zh-CN"/>
              </w:rPr>
              <w:t xml:space="preserve">采购需求、</w:t>
            </w:r>
            <w:r>
              <w:rPr>
                <w:rFonts w:hint="eastAsia"/>
                <w:b/>
                <w:color w:val="000000"/>
                <w:sz w:val="24"/>
                <w:highlight w:val="none"/>
              </w:rPr>
              <w:t xml:space="preserve">技术要求</w:t>
            </w:r>
            <w:r>
              <w:rPr>
                <w:rFonts w:hint="eastAsia"/>
                <w:b/>
                <w:color w:val="000000"/>
                <w:sz w:val="24"/>
                <w:highlight w:val="none"/>
                <w:lang w:val="en-US" w:eastAsia="zh-CN"/>
              </w:rPr>
              <w:t xml:space="preserve">等</w:t>
            </w:r>
            <w:r>
              <w:rPr>
                <w:rFonts w:hint="eastAsia"/>
                <w:b/>
                <w:color w:val="000000"/>
                <w:sz w:val="24"/>
                <w:highlight w:val="none"/>
              </w:rPr>
              <w:t xml:space="preserve">条款的偏离情况（请进行勾选）：</w:t>
            </w:r>
            <w:r>
              <w:rPr>
                <w:b/>
                <w:color w:val="000000"/>
                <w:sz w:val="24"/>
                <w:highlight w:val="none"/>
              </w:rPr>
            </w:r>
            <w:r/>
          </w:p>
          <w:p>
            <w:pPr>
              <w:pStyle w:val="825"/>
              <w:jc w:val="left"/>
              <w:rPr>
                <w:b/>
                <w:color w:val="000000"/>
                <w:sz w:val="24"/>
                <w:highlight w:val="none"/>
              </w:rPr>
            </w:pPr>
            <w:r>
              <w:rPr>
                <w:rFonts w:hint="eastAsia"/>
                <w:b/>
                <w:color w:val="000000"/>
                <w:sz w:val="24"/>
                <w:highlight w:val="none"/>
                <w:lang w:eastAsia="zh-CN"/>
              </w:rPr>
              <w:t xml:space="preserve">□</w:t>
            </w: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825"/>
              <w:jc w:val="both"/>
              <w:rPr>
                <w:sz w:val="24"/>
                <w:highlight w:val="none"/>
              </w:rPr>
            </w:pPr>
            <w:r>
              <w:rPr>
                <w:rFonts w:hint="eastAsia"/>
                <w:b/>
                <w:color w:val="000000"/>
                <w:sz w:val="24"/>
                <w:highlight w:val="none"/>
                <w:lang w:eastAsia="zh-CN"/>
              </w:rPr>
              <w:t xml:space="preserve">□</w:t>
            </w: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sz w:val="24"/>
                <w:highlight w:val="none"/>
              </w:rPr>
            </w:r>
            <w:r/>
          </w:p>
        </w:tc>
      </w:tr>
      <w:tr>
        <w:trPr>
          <w:trHeight w:val="1053"/>
        </w:trPr>
        <w:tc>
          <w:tcPr>
            <w:tcW w:w="775" w:type="dxa"/>
            <w:vAlign w:val="center"/>
            <w:textDirection w:val="lrTb"/>
            <w:noWrap w:val="false"/>
          </w:tcPr>
          <w:p>
            <w:pPr>
              <w:pStyle w:val="825"/>
              <w:jc w:val="center"/>
              <w:rPr>
                <w:sz w:val="24"/>
                <w:highlight w:val="none"/>
              </w:rPr>
            </w:pPr>
            <w:r>
              <w:rPr>
                <w:sz w:val="24"/>
                <w:highlight w:val="none"/>
              </w:rPr>
              <w:t xml:space="preserve">序号</w:t>
            </w:r>
            <w:r>
              <w:rPr>
                <w:sz w:val="24"/>
                <w:highlight w:val="none"/>
              </w:rPr>
            </w:r>
            <w:r/>
          </w:p>
        </w:tc>
        <w:tc>
          <w:tcPr>
            <w:tcW w:w="1482" w:type="dxa"/>
            <w:vAlign w:val="center"/>
            <w:textDirection w:val="lrTb"/>
            <w:noWrap w:val="false"/>
          </w:tcPr>
          <w:p>
            <w:pPr>
              <w:pStyle w:val="825"/>
              <w:jc w:val="center"/>
              <w:rPr>
                <w:sz w:val="24"/>
                <w:highlight w:val="none"/>
              </w:rPr>
            </w:pPr>
            <w:r>
              <w:rPr>
                <w:rFonts w:hint="eastAsia"/>
                <w:sz w:val="24"/>
                <w:highlight w:val="none"/>
                <w:lang w:val="en-US" w:eastAsia="zh-CN"/>
              </w:rPr>
              <w:t xml:space="preserve">招标</w:t>
            </w:r>
            <w:r>
              <w:rPr>
                <w:sz w:val="24"/>
                <w:highlight w:val="none"/>
              </w:rPr>
              <w:t xml:space="preserve">文件条目号(页码)</w:t>
            </w:r>
            <w:r>
              <w:rPr>
                <w:sz w:val="24"/>
                <w:highlight w:val="none"/>
              </w:rPr>
            </w:r>
            <w:r/>
          </w:p>
        </w:tc>
        <w:tc>
          <w:tcPr>
            <w:tcW w:w="2384" w:type="dxa"/>
            <w:vAlign w:val="center"/>
            <w:textDirection w:val="lrTb"/>
            <w:noWrap w:val="false"/>
          </w:tcPr>
          <w:p>
            <w:pPr>
              <w:pStyle w:val="825"/>
              <w:jc w:val="center"/>
              <w:rPr>
                <w:sz w:val="24"/>
                <w:highlight w:val="none"/>
              </w:rPr>
            </w:pPr>
            <w:r>
              <w:rPr>
                <w:rFonts w:hint="eastAsia"/>
                <w:sz w:val="24"/>
                <w:highlight w:val="none"/>
                <w:lang w:val="en-US" w:eastAsia="zh-CN"/>
              </w:rPr>
              <w:t xml:space="preserve">招标</w:t>
            </w:r>
            <w:r>
              <w:rPr>
                <w:sz w:val="24"/>
                <w:highlight w:val="none"/>
              </w:rPr>
              <w:t xml:space="preserve">文件要求</w:t>
            </w:r>
            <w:r>
              <w:rPr>
                <w:sz w:val="24"/>
                <w:highlight w:val="none"/>
              </w:rPr>
            </w:r>
            <w:r/>
          </w:p>
        </w:tc>
        <w:tc>
          <w:tcPr>
            <w:tcW w:w="2126" w:type="dxa"/>
            <w:vAlign w:val="center"/>
            <w:textDirection w:val="lrTb"/>
            <w:noWrap w:val="false"/>
          </w:tcPr>
          <w:p>
            <w:pPr>
              <w:pStyle w:val="825"/>
              <w:jc w:val="center"/>
              <w:rPr>
                <w:sz w:val="24"/>
                <w:highlight w:val="none"/>
              </w:rPr>
            </w:pPr>
            <w:r>
              <w:rPr>
                <w:sz w:val="24"/>
                <w:highlight w:val="none"/>
              </w:rPr>
              <w:t xml:space="preserve">响应内容</w:t>
            </w:r>
            <w:r>
              <w:rPr>
                <w:sz w:val="24"/>
                <w:highlight w:val="none"/>
              </w:rPr>
            </w:r>
            <w:r/>
          </w:p>
        </w:tc>
        <w:tc>
          <w:tcPr>
            <w:tcW w:w="1875" w:type="dxa"/>
            <w:vAlign w:val="center"/>
            <w:textDirection w:val="lrTb"/>
            <w:noWrap w:val="false"/>
          </w:tcPr>
          <w:p>
            <w:pPr>
              <w:pStyle w:val="825"/>
              <w:jc w:val="center"/>
              <w:rPr>
                <w:sz w:val="24"/>
                <w:highlight w:val="none"/>
              </w:rPr>
            </w:pPr>
            <w:r>
              <w:rPr>
                <w:sz w:val="24"/>
                <w:highlight w:val="none"/>
              </w:rPr>
              <w:t xml:space="preserve">偏离情况</w:t>
            </w:r>
            <w:r>
              <w:rPr>
                <w:sz w:val="24"/>
                <w:highlight w:val="none"/>
              </w:rPr>
            </w:r>
            <w:r/>
          </w:p>
          <w:p>
            <w:pPr>
              <w:pStyle w:val="825"/>
              <w:jc w:val="center"/>
              <w:rPr>
                <w:sz w:val="24"/>
                <w:highlight w:val="none"/>
              </w:rPr>
            </w:pPr>
            <w:r>
              <w:rPr>
                <w:sz w:val="24"/>
                <w:szCs w:val="21"/>
                <w:highlight w:val="none"/>
              </w:rPr>
              <w:t xml:space="preserve">（据实填写）</w:t>
            </w:r>
            <w:r>
              <w:rPr>
                <w:sz w:val="24"/>
                <w:highlight w:val="none"/>
              </w:rPr>
            </w:r>
            <w:r/>
          </w:p>
        </w:tc>
        <w:tc>
          <w:tcPr>
            <w:tcW w:w="1009" w:type="dxa"/>
            <w:vAlign w:val="center"/>
            <w:textDirection w:val="lrTb"/>
            <w:noWrap w:val="false"/>
          </w:tcPr>
          <w:p>
            <w:pPr>
              <w:pStyle w:val="825"/>
              <w:jc w:val="center"/>
              <w:rPr>
                <w:sz w:val="24"/>
                <w:highlight w:val="none"/>
              </w:rPr>
            </w:pPr>
            <w:r>
              <w:rPr>
                <w:sz w:val="24"/>
                <w:highlight w:val="none"/>
              </w:rPr>
              <w:t xml:space="preserve">说明</w:t>
            </w:r>
            <w:r>
              <w:rPr>
                <w:sz w:val="24"/>
                <w:highlight w:val="none"/>
              </w:rPr>
            </w:r>
            <w:r/>
          </w:p>
        </w:tc>
      </w:tr>
      <w:tr>
        <w:trPr>
          <w:trHeight w:val="930"/>
        </w:trPr>
        <w:tc>
          <w:tcPr>
            <w:tcW w:w="775" w:type="dxa"/>
            <w:vAlign w:val="center"/>
            <w:textDirection w:val="lrTb"/>
            <w:noWrap w:val="false"/>
          </w:tcPr>
          <w:p>
            <w:pPr>
              <w:pStyle w:val="825"/>
              <w:jc w:val="center"/>
              <w:rPr>
                <w:sz w:val="24"/>
                <w:highlight w:val="none"/>
              </w:rPr>
            </w:pPr>
            <w:r>
              <w:rPr>
                <w:sz w:val="24"/>
                <w:highlight w:val="none"/>
              </w:rPr>
            </w:r>
            <w:r/>
          </w:p>
        </w:tc>
        <w:tc>
          <w:tcPr>
            <w:tcW w:w="1482" w:type="dxa"/>
            <w:vAlign w:val="center"/>
            <w:textDirection w:val="lrTb"/>
            <w:noWrap w:val="false"/>
          </w:tcPr>
          <w:p>
            <w:pPr>
              <w:pStyle w:val="825"/>
              <w:jc w:val="center"/>
              <w:rPr>
                <w:sz w:val="24"/>
                <w:highlight w:val="none"/>
              </w:rPr>
            </w:pPr>
            <w:r>
              <w:rPr>
                <w:sz w:val="24"/>
                <w:highlight w:val="none"/>
              </w:rPr>
            </w:r>
            <w:r/>
          </w:p>
        </w:tc>
        <w:tc>
          <w:tcPr>
            <w:tcW w:w="2384" w:type="dxa"/>
            <w:vAlign w:val="center"/>
            <w:textDirection w:val="lrTb"/>
            <w:noWrap w:val="false"/>
          </w:tcPr>
          <w:p>
            <w:pPr>
              <w:pStyle w:val="825"/>
              <w:jc w:val="center"/>
              <w:rPr>
                <w:sz w:val="24"/>
                <w:highlight w:val="none"/>
              </w:rPr>
            </w:pPr>
            <w:r>
              <w:rPr>
                <w:sz w:val="24"/>
                <w:highlight w:val="none"/>
              </w:rPr>
            </w:r>
            <w:r/>
          </w:p>
        </w:tc>
        <w:tc>
          <w:tcPr>
            <w:tcW w:w="2126" w:type="dxa"/>
            <w:vAlign w:val="center"/>
            <w:textDirection w:val="lrTb"/>
            <w:noWrap w:val="false"/>
          </w:tcPr>
          <w:p>
            <w:pPr>
              <w:pStyle w:val="825"/>
              <w:jc w:val="center"/>
              <w:rPr>
                <w:sz w:val="24"/>
                <w:highlight w:val="none"/>
              </w:rPr>
            </w:pPr>
            <w:r>
              <w:rPr>
                <w:sz w:val="24"/>
                <w:highlight w:val="none"/>
              </w:rPr>
            </w:r>
            <w:r/>
          </w:p>
        </w:tc>
        <w:tc>
          <w:tcPr>
            <w:tcW w:w="1875" w:type="dxa"/>
            <w:vAlign w:val="center"/>
            <w:textDirection w:val="lrTb"/>
            <w:noWrap w:val="false"/>
          </w:tcPr>
          <w:p>
            <w:pPr>
              <w:pStyle w:val="825"/>
              <w:jc w:val="center"/>
              <w:rPr>
                <w:sz w:val="24"/>
                <w:highlight w:val="none"/>
              </w:rPr>
            </w:pPr>
            <w:r>
              <w:rPr>
                <w:sz w:val="24"/>
                <w:highlight w:val="none"/>
              </w:rPr>
            </w:r>
            <w:r/>
          </w:p>
        </w:tc>
        <w:tc>
          <w:tcPr>
            <w:tcW w:w="1009" w:type="dxa"/>
            <w:vAlign w:val="center"/>
            <w:textDirection w:val="lrTb"/>
            <w:noWrap w:val="false"/>
          </w:tcPr>
          <w:p>
            <w:pPr>
              <w:pStyle w:val="825"/>
              <w:jc w:val="center"/>
              <w:rPr>
                <w:sz w:val="24"/>
                <w:highlight w:val="none"/>
              </w:rPr>
            </w:pPr>
            <w:r>
              <w:rPr>
                <w:sz w:val="24"/>
                <w:highlight w:val="none"/>
              </w:rPr>
            </w:r>
            <w:r/>
          </w:p>
        </w:tc>
      </w:tr>
      <w:tr>
        <w:trPr>
          <w:trHeight w:val="930"/>
        </w:trPr>
        <w:tc>
          <w:tcPr>
            <w:tcW w:w="775" w:type="dxa"/>
            <w:vAlign w:val="center"/>
            <w:textDirection w:val="lrTb"/>
            <w:noWrap w:val="false"/>
          </w:tcPr>
          <w:p>
            <w:pPr>
              <w:pStyle w:val="825"/>
              <w:jc w:val="center"/>
              <w:rPr>
                <w:sz w:val="24"/>
                <w:highlight w:val="none"/>
              </w:rPr>
            </w:pPr>
            <w:r>
              <w:rPr>
                <w:sz w:val="24"/>
                <w:highlight w:val="none"/>
              </w:rPr>
            </w:r>
            <w:r/>
          </w:p>
        </w:tc>
        <w:tc>
          <w:tcPr>
            <w:tcW w:w="1482" w:type="dxa"/>
            <w:vAlign w:val="center"/>
            <w:textDirection w:val="lrTb"/>
            <w:noWrap w:val="false"/>
          </w:tcPr>
          <w:p>
            <w:pPr>
              <w:pStyle w:val="825"/>
              <w:jc w:val="center"/>
              <w:rPr>
                <w:sz w:val="24"/>
                <w:highlight w:val="none"/>
              </w:rPr>
            </w:pPr>
            <w:r>
              <w:rPr>
                <w:sz w:val="24"/>
                <w:highlight w:val="none"/>
              </w:rPr>
            </w:r>
            <w:r/>
          </w:p>
        </w:tc>
        <w:tc>
          <w:tcPr>
            <w:tcW w:w="2384" w:type="dxa"/>
            <w:vAlign w:val="center"/>
            <w:textDirection w:val="lrTb"/>
            <w:noWrap w:val="false"/>
          </w:tcPr>
          <w:p>
            <w:pPr>
              <w:pStyle w:val="825"/>
              <w:jc w:val="center"/>
              <w:rPr>
                <w:sz w:val="24"/>
                <w:highlight w:val="none"/>
              </w:rPr>
            </w:pPr>
            <w:r>
              <w:rPr>
                <w:sz w:val="24"/>
                <w:highlight w:val="none"/>
              </w:rPr>
            </w:r>
            <w:r/>
          </w:p>
        </w:tc>
        <w:tc>
          <w:tcPr>
            <w:tcW w:w="2126" w:type="dxa"/>
            <w:vAlign w:val="center"/>
            <w:textDirection w:val="lrTb"/>
            <w:noWrap w:val="false"/>
          </w:tcPr>
          <w:p>
            <w:pPr>
              <w:pStyle w:val="825"/>
              <w:jc w:val="center"/>
              <w:rPr>
                <w:sz w:val="24"/>
                <w:highlight w:val="none"/>
              </w:rPr>
            </w:pPr>
            <w:r>
              <w:rPr>
                <w:sz w:val="24"/>
                <w:highlight w:val="none"/>
              </w:rPr>
            </w:r>
            <w:r/>
          </w:p>
        </w:tc>
        <w:tc>
          <w:tcPr>
            <w:tcW w:w="1875" w:type="dxa"/>
            <w:vAlign w:val="center"/>
            <w:textDirection w:val="lrTb"/>
            <w:noWrap w:val="false"/>
          </w:tcPr>
          <w:p>
            <w:pPr>
              <w:pStyle w:val="825"/>
              <w:jc w:val="center"/>
              <w:rPr>
                <w:sz w:val="24"/>
                <w:highlight w:val="none"/>
              </w:rPr>
            </w:pPr>
            <w:r>
              <w:rPr>
                <w:sz w:val="24"/>
                <w:highlight w:val="none"/>
              </w:rPr>
            </w:r>
            <w:r/>
          </w:p>
        </w:tc>
        <w:tc>
          <w:tcPr>
            <w:tcW w:w="1009" w:type="dxa"/>
            <w:vAlign w:val="center"/>
            <w:textDirection w:val="lrTb"/>
            <w:noWrap w:val="false"/>
          </w:tcPr>
          <w:p>
            <w:pPr>
              <w:pStyle w:val="825"/>
              <w:jc w:val="center"/>
              <w:rPr>
                <w:sz w:val="24"/>
                <w:highlight w:val="none"/>
              </w:rPr>
            </w:pPr>
            <w:r>
              <w:rPr>
                <w:sz w:val="24"/>
                <w:highlight w:val="none"/>
              </w:rPr>
            </w:r>
            <w:r/>
          </w:p>
        </w:tc>
      </w:tr>
      <w:tr>
        <w:trPr>
          <w:trHeight w:val="930"/>
        </w:trPr>
        <w:tc>
          <w:tcPr>
            <w:tcW w:w="775" w:type="dxa"/>
            <w:vAlign w:val="center"/>
            <w:textDirection w:val="lrTb"/>
            <w:noWrap w:val="false"/>
          </w:tcPr>
          <w:p>
            <w:pPr>
              <w:pStyle w:val="825"/>
              <w:jc w:val="center"/>
              <w:rPr>
                <w:sz w:val="24"/>
                <w:highlight w:val="none"/>
              </w:rPr>
            </w:pPr>
            <w:r>
              <w:rPr>
                <w:sz w:val="24"/>
                <w:highlight w:val="none"/>
              </w:rPr>
            </w:r>
            <w:r/>
          </w:p>
        </w:tc>
        <w:tc>
          <w:tcPr>
            <w:tcW w:w="1482" w:type="dxa"/>
            <w:vAlign w:val="center"/>
            <w:textDirection w:val="lrTb"/>
            <w:noWrap w:val="false"/>
          </w:tcPr>
          <w:p>
            <w:pPr>
              <w:pStyle w:val="825"/>
              <w:jc w:val="center"/>
              <w:rPr>
                <w:sz w:val="24"/>
                <w:highlight w:val="none"/>
              </w:rPr>
            </w:pPr>
            <w:r>
              <w:rPr>
                <w:sz w:val="24"/>
                <w:highlight w:val="none"/>
              </w:rPr>
            </w:r>
            <w:r/>
          </w:p>
        </w:tc>
        <w:tc>
          <w:tcPr>
            <w:tcW w:w="2384" w:type="dxa"/>
            <w:vAlign w:val="center"/>
            <w:textDirection w:val="lrTb"/>
            <w:noWrap w:val="false"/>
          </w:tcPr>
          <w:p>
            <w:pPr>
              <w:pStyle w:val="825"/>
              <w:jc w:val="center"/>
              <w:rPr>
                <w:sz w:val="24"/>
                <w:highlight w:val="none"/>
              </w:rPr>
            </w:pPr>
            <w:r>
              <w:rPr>
                <w:sz w:val="24"/>
                <w:highlight w:val="none"/>
              </w:rPr>
            </w:r>
            <w:r/>
          </w:p>
        </w:tc>
        <w:tc>
          <w:tcPr>
            <w:tcW w:w="2126" w:type="dxa"/>
            <w:vAlign w:val="center"/>
            <w:textDirection w:val="lrTb"/>
            <w:noWrap w:val="false"/>
          </w:tcPr>
          <w:p>
            <w:pPr>
              <w:pStyle w:val="825"/>
              <w:jc w:val="center"/>
              <w:rPr>
                <w:sz w:val="24"/>
                <w:highlight w:val="none"/>
              </w:rPr>
            </w:pPr>
            <w:r>
              <w:rPr>
                <w:sz w:val="24"/>
                <w:highlight w:val="none"/>
              </w:rPr>
            </w:r>
            <w:r/>
          </w:p>
        </w:tc>
        <w:tc>
          <w:tcPr>
            <w:tcW w:w="1875" w:type="dxa"/>
            <w:vAlign w:val="center"/>
            <w:textDirection w:val="lrTb"/>
            <w:noWrap w:val="false"/>
          </w:tcPr>
          <w:p>
            <w:pPr>
              <w:pStyle w:val="825"/>
              <w:jc w:val="center"/>
              <w:rPr>
                <w:sz w:val="24"/>
                <w:highlight w:val="none"/>
              </w:rPr>
            </w:pPr>
            <w:r>
              <w:rPr>
                <w:sz w:val="24"/>
                <w:highlight w:val="none"/>
              </w:rPr>
            </w:r>
            <w:r/>
          </w:p>
        </w:tc>
        <w:tc>
          <w:tcPr>
            <w:tcW w:w="1009" w:type="dxa"/>
            <w:vAlign w:val="center"/>
            <w:textDirection w:val="lrTb"/>
            <w:noWrap w:val="false"/>
          </w:tcPr>
          <w:p>
            <w:pPr>
              <w:pStyle w:val="825"/>
              <w:jc w:val="center"/>
              <w:rPr>
                <w:sz w:val="24"/>
                <w:highlight w:val="none"/>
              </w:rPr>
            </w:pPr>
            <w:r>
              <w:rPr>
                <w:sz w:val="24"/>
                <w:highlight w:val="none"/>
              </w:rPr>
            </w:r>
            <w:r/>
          </w:p>
        </w:tc>
      </w:tr>
      <w:tr>
        <w:trPr>
          <w:trHeight w:val="930"/>
        </w:trPr>
        <w:tc>
          <w:tcPr>
            <w:tcW w:w="775" w:type="dxa"/>
            <w:vAlign w:val="center"/>
            <w:textDirection w:val="lrTb"/>
            <w:noWrap w:val="false"/>
          </w:tcPr>
          <w:p>
            <w:pPr>
              <w:pStyle w:val="825"/>
              <w:jc w:val="center"/>
              <w:rPr>
                <w:sz w:val="24"/>
                <w:highlight w:val="none"/>
              </w:rPr>
            </w:pPr>
            <w:r>
              <w:rPr>
                <w:sz w:val="24"/>
                <w:highlight w:val="none"/>
              </w:rPr>
            </w:r>
            <w:r/>
          </w:p>
        </w:tc>
        <w:tc>
          <w:tcPr>
            <w:tcW w:w="1482" w:type="dxa"/>
            <w:vAlign w:val="center"/>
            <w:textDirection w:val="lrTb"/>
            <w:noWrap w:val="false"/>
          </w:tcPr>
          <w:p>
            <w:pPr>
              <w:pStyle w:val="825"/>
              <w:jc w:val="center"/>
              <w:rPr>
                <w:sz w:val="24"/>
                <w:highlight w:val="none"/>
              </w:rPr>
            </w:pPr>
            <w:r>
              <w:rPr>
                <w:sz w:val="24"/>
                <w:highlight w:val="none"/>
              </w:rPr>
            </w:r>
            <w:r/>
          </w:p>
        </w:tc>
        <w:tc>
          <w:tcPr>
            <w:tcW w:w="2384" w:type="dxa"/>
            <w:vAlign w:val="center"/>
            <w:textDirection w:val="lrTb"/>
            <w:noWrap w:val="false"/>
          </w:tcPr>
          <w:p>
            <w:pPr>
              <w:pStyle w:val="825"/>
              <w:jc w:val="center"/>
              <w:rPr>
                <w:sz w:val="24"/>
                <w:highlight w:val="none"/>
              </w:rPr>
            </w:pPr>
            <w:r>
              <w:rPr>
                <w:sz w:val="24"/>
                <w:highlight w:val="none"/>
              </w:rPr>
            </w:r>
            <w:r/>
          </w:p>
        </w:tc>
        <w:tc>
          <w:tcPr>
            <w:tcW w:w="2126" w:type="dxa"/>
            <w:vAlign w:val="center"/>
            <w:textDirection w:val="lrTb"/>
            <w:noWrap w:val="false"/>
          </w:tcPr>
          <w:p>
            <w:pPr>
              <w:pStyle w:val="825"/>
              <w:jc w:val="center"/>
              <w:rPr>
                <w:sz w:val="24"/>
                <w:highlight w:val="none"/>
              </w:rPr>
            </w:pPr>
            <w:r>
              <w:rPr>
                <w:sz w:val="24"/>
                <w:highlight w:val="none"/>
              </w:rPr>
            </w:r>
            <w:r/>
          </w:p>
        </w:tc>
        <w:tc>
          <w:tcPr>
            <w:tcW w:w="1875" w:type="dxa"/>
            <w:vAlign w:val="center"/>
            <w:textDirection w:val="lrTb"/>
            <w:noWrap w:val="false"/>
          </w:tcPr>
          <w:p>
            <w:pPr>
              <w:pStyle w:val="825"/>
              <w:jc w:val="center"/>
              <w:rPr>
                <w:sz w:val="24"/>
                <w:highlight w:val="none"/>
              </w:rPr>
            </w:pPr>
            <w:r>
              <w:rPr>
                <w:sz w:val="24"/>
                <w:highlight w:val="none"/>
              </w:rPr>
            </w:r>
            <w:r/>
          </w:p>
        </w:tc>
        <w:tc>
          <w:tcPr>
            <w:tcW w:w="1009" w:type="dxa"/>
            <w:vAlign w:val="center"/>
            <w:textDirection w:val="lrTb"/>
            <w:noWrap w:val="false"/>
          </w:tcPr>
          <w:p>
            <w:pPr>
              <w:pStyle w:val="825"/>
              <w:jc w:val="center"/>
              <w:rPr>
                <w:sz w:val="24"/>
                <w:highlight w:val="none"/>
              </w:rPr>
            </w:pPr>
            <w:r>
              <w:rPr>
                <w:sz w:val="24"/>
                <w:highlight w:val="none"/>
              </w:rPr>
            </w:r>
            <w:r/>
          </w:p>
        </w:tc>
      </w:tr>
      <w:tr>
        <w:trPr>
          <w:trHeight w:val="930"/>
        </w:trPr>
        <w:tc>
          <w:tcPr>
            <w:tcW w:w="775" w:type="dxa"/>
            <w:vAlign w:val="center"/>
            <w:textDirection w:val="lrTb"/>
            <w:noWrap w:val="false"/>
          </w:tcPr>
          <w:p>
            <w:pPr>
              <w:pStyle w:val="825"/>
              <w:jc w:val="center"/>
              <w:rPr>
                <w:sz w:val="24"/>
                <w:highlight w:val="none"/>
              </w:rPr>
            </w:pPr>
            <w:r>
              <w:rPr>
                <w:color w:val="000000"/>
                <w:sz w:val="24"/>
                <w:highlight w:val="none"/>
              </w:rPr>
              <w:t xml:space="preserve">……</w:t>
            </w:r>
            <w:r>
              <w:rPr>
                <w:sz w:val="24"/>
                <w:highlight w:val="none"/>
              </w:rPr>
            </w:r>
            <w:r/>
          </w:p>
        </w:tc>
        <w:tc>
          <w:tcPr>
            <w:tcW w:w="1482" w:type="dxa"/>
            <w:vAlign w:val="center"/>
            <w:textDirection w:val="lrTb"/>
            <w:noWrap w:val="false"/>
          </w:tcPr>
          <w:p>
            <w:pPr>
              <w:pStyle w:val="825"/>
              <w:jc w:val="center"/>
              <w:rPr>
                <w:sz w:val="24"/>
                <w:highlight w:val="none"/>
              </w:rPr>
            </w:pPr>
            <w:r>
              <w:rPr>
                <w:sz w:val="24"/>
                <w:highlight w:val="none"/>
              </w:rPr>
            </w:r>
            <w:r/>
          </w:p>
        </w:tc>
        <w:tc>
          <w:tcPr>
            <w:tcW w:w="2384" w:type="dxa"/>
            <w:vAlign w:val="center"/>
            <w:textDirection w:val="lrTb"/>
            <w:noWrap w:val="false"/>
          </w:tcPr>
          <w:p>
            <w:pPr>
              <w:pStyle w:val="825"/>
              <w:jc w:val="center"/>
              <w:rPr>
                <w:sz w:val="24"/>
                <w:highlight w:val="none"/>
              </w:rPr>
            </w:pPr>
            <w:r>
              <w:rPr>
                <w:sz w:val="24"/>
                <w:highlight w:val="none"/>
              </w:rPr>
            </w:r>
            <w:r/>
          </w:p>
        </w:tc>
        <w:tc>
          <w:tcPr>
            <w:tcW w:w="2126" w:type="dxa"/>
            <w:vAlign w:val="center"/>
            <w:textDirection w:val="lrTb"/>
            <w:noWrap w:val="false"/>
          </w:tcPr>
          <w:p>
            <w:pPr>
              <w:pStyle w:val="825"/>
              <w:jc w:val="center"/>
              <w:rPr>
                <w:sz w:val="24"/>
                <w:highlight w:val="none"/>
              </w:rPr>
            </w:pPr>
            <w:r>
              <w:rPr>
                <w:sz w:val="24"/>
                <w:highlight w:val="none"/>
              </w:rPr>
            </w:r>
            <w:r/>
          </w:p>
        </w:tc>
        <w:tc>
          <w:tcPr>
            <w:tcW w:w="1875" w:type="dxa"/>
            <w:vAlign w:val="center"/>
            <w:textDirection w:val="lrTb"/>
            <w:noWrap w:val="false"/>
          </w:tcPr>
          <w:p>
            <w:pPr>
              <w:pStyle w:val="825"/>
              <w:jc w:val="center"/>
              <w:rPr>
                <w:sz w:val="24"/>
                <w:highlight w:val="none"/>
              </w:rPr>
            </w:pPr>
            <w:r>
              <w:rPr>
                <w:sz w:val="24"/>
                <w:highlight w:val="none"/>
              </w:rPr>
            </w:r>
            <w:r/>
          </w:p>
        </w:tc>
        <w:tc>
          <w:tcPr>
            <w:tcW w:w="1009" w:type="dxa"/>
            <w:vAlign w:val="center"/>
            <w:textDirection w:val="lrTb"/>
            <w:noWrap w:val="false"/>
          </w:tcPr>
          <w:p>
            <w:pPr>
              <w:pStyle w:val="825"/>
              <w:jc w:val="center"/>
              <w:rPr>
                <w:sz w:val="24"/>
                <w:highlight w:val="none"/>
              </w:rPr>
            </w:pPr>
            <w:r>
              <w:rPr>
                <w:sz w:val="24"/>
                <w:highlight w:val="none"/>
              </w:rPr>
            </w:r>
            <w:r/>
          </w:p>
        </w:tc>
      </w:tr>
    </w:tbl>
    <w:p>
      <w:pPr>
        <w:pStyle w:val="825"/>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82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25"/>
        <w:jc w:val="left"/>
        <w:tabs>
          <w:tab w:val="left" w:pos="1800" w:leader="none"/>
          <w:tab w:val="left" w:pos="5580" w:leader="none"/>
        </w:tabs>
        <w:rPr>
          <w:rFonts w:hint="eastAsia" w:eastAsia="宋体"/>
          <w:sz w:val="24"/>
          <w:highlight w:val="none"/>
          <w:lang w:eastAsia="zh-CN"/>
        </w:rPr>
      </w:pPr>
      <w:r>
        <w:rPr>
          <w:rFonts w:hint="eastAsia"/>
          <w:color w:val="000000"/>
          <w:sz w:val="24"/>
          <w:highlight w:val="none"/>
        </w:rPr>
        <w:t xml:space="preserve">1</w:t>
      </w:r>
      <w:r>
        <w:rPr>
          <w:color w:val="000000"/>
          <w:sz w:val="24"/>
          <w:highlight w:val="none"/>
        </w:rPr>
        <w:t xml:space="preserve">. </w:t>
      </w:r>
      <w:r>
        <w:rPr>
          <w:sz w:val="24"/>
          <w:highlight w:val="none"/>
        </w:rPr>
        <w:t xml:space="preserve">对招标文件中的所有商务、技术要求，除本表所列明的所有偏离外，均视作供应商已对之理解和</w:t>
      </w:r>
      <w:r>
        <w:rPr>
          <w:rFonts w:hint="eastAsia"/>
          <w:sz w:val="24"/>
          <w:highlight w:val="none"/>
        </w:rPr>
        <w:t xml:space="preserve">响应</w:t>
      </w:r>
      <w:r>
        <w:rPr>
          <w:rFonts w:hint="eastAsia"/>
          <w:sz w:val="24"/>
          <w:highlight w:val="none"/>
          <w:lang w:eastAsia="zh-CN"/>
        </w:rPr>
        <w:t xml:space="preserve">。</w:t>
      </w:r>
      <w:r>
        <w:rPr>
          <w:rFonts w:hint="eastAsia" w:eastAsia="宋体"/>
          <w:sz w:val="24"/>
          <w:highlight w:val="none"/>
          <w:lang w:eastAsia="zh-CN"/>
        </w:rPr>
      </w:r>
      <w:r/>
    </w:p>
    <w:p>
      <w:pPr>
        <w:pStyle w:val="825"/>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825"/>
        <w:jc w:val="left"/>
        <w:tabs>
          <w:tab w:val="left" w:pos="1800" w:leader="none"/>
          <w:tab w:val="left" w:pos="5580" w:leader="none"/>
        </w:tabs>
        <w:rPr>
          <w:sz w:val="24"/>
          <w:highlight w:val="none"/>
        </w:rPr>
      </w:pPr>
      <w:r>
        <w:rPr>
          <w:sz w:val="24"/>
          <w:highlight w:val="none"/>
        </w:rPr>
      </w:r>
      <w:r/>
    </w:p>
    <w:p>
      <w:pPr>
        <w:pStyle w:val="825"/>
        <w:jc w:val="left"/>
        <w:tabs>
          <w:tab w:val="left" w:pos="1800" w:leader="none"/>
          <w:tab w:val="left" w:pos="5580" w:leader="none"/>
        </w:tabs>
        <w:rPr>
          <w:color w:val="000000"/>
          <w:sz w:val="24"/>
          <w:highlight w:val="none"/>
        </w:rPr>
      </w:pPr>
      <w:r>
        <w:rPr>
          <w:color w:val="000000"/>
          <w:sz w:val="24"/>
          <w:highlight w:val="none"/>
        </w:rPr>
      </w:r>
      <w:r/>
    </w:p>
    <w:p>
      <w:pPr>
        <w:pStyle w:val="825"/>
        <w:rPr>
          <w:color w:val="000000"/>
          <w:sz w:val="24"/>
          <w:szCs w:val="20"/>
          <w:highlight w:val="none"/>
        </w:rPr>
      </w:pPr>
      <w:r>
        <w:rPr>
          <w:color w:val="000000"/>
          <w:sz w:val="24"/>
          <w:szCs w:val="20"/>
          <w:highlight w:val="none"/>
        </w:rPr>
      </w:r>
      <w:r/>
    </w:p>
    <w:p>
      <w:pPr>
        <w:pStyle w:val="82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2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2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25"/>
        <w:ind w:right="1560"/>
        <w:jc w:val="both"/>
        <w:spacing w:line="588" w:lineRule="exact"/>
        <w:tabs>
          <w:tab w:val="left" w:pos="4860" w:leader="none"/>
        </w:tabs>
        <w:rPr>
          <w:spacing w:val="6"/>
          <w:sz w:val="24"/>
          <w:highlight w:val="none"/>
        </w:rPr>
      </w:pPr>
      <w:r>
        <w:rPr>
          <w:spacing w:val="6"/>
          <w:sz w:val="24"/>
          <w:highlight w:val="none"/>
        </w:rPr>
      </w:r>
      <w:r/>
    </w:p>
    <w:p>
      <w:pPr>
        <w:pStyle w:val="825"/>
        <w:spacing w:line="360" w:lineRule="auto"/>
        <w:rPr>
          <w:b/>
          <w:color w:val="000000"/>
          <w:sz w:val="24"/>
          <w:highlight w:val="none"/>
        </w:rPr>
        <w:outlineLvl w:val="2"/>
      </w:pPr>
      <w:r>
        <w:rPr>
          <w:b/>
          <w:color w:val="000000"/>
          <w:sz w:val="24"/>
          <w:highlight w:val="none"/>
        </w:rPr>
      </w:r>
      <w:r/>
    </w:p>
    <w:p>
      <w:pPr>
        <w:pStyle w:val="825"/>
        <w:rPr>
          <w:color w:val="000000"/>
          <w:sz w:val="24"/>
          <w:szCs w:val="20"/>
          <w:highlight w:val="none"/>
        </w:rPr>
      </w:pPr>
      <w:r>
        <w:rPr>
          <w:rFonts w:hint="eastAsia"/>
          <w:color w:val="000000"/>
          <w:sz w:val="24"/>
          <w:szCs w:val="20"/>
          <w:highlight w:val="none"/>
          <w:lang w:val="en-US" w:eastAsia="zh-CN"/>
        </w:rPr>
        <w:t xml:space="preserve">8</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825"/>
        <w:ind w:firstLine="480"/>
        <w:spacing w:line="560" w:lineRule="exact"/>
        <w:rPr>
          <w:rFonts w:hint="eastAsia"/>
          <w:color w:val="000000"/>
          <w:sz w:val="24"/>
          <w:szCs w:val="20"/>
          <w:highlight w:val="none"/>
        </w:rPr>
      </w:pPr>
      <w:r>
        <w:rPr>
          <w:rFonts w:hint="eastAsia"/>
          <w:color w:val="000000"/>
          <w:sz w:val="24"/>
          <w:szCs w:val="20"/>
          <w:highlight w:val="none"/>
        </w:rPr>
        <w:t xml:space="preserve">（1）绿化养护方案；</w:t>
      </w:r>
      <w:r>
        <w:rPr>
          <w:rFonts w:hint="eastAsia"/>
          <w:color w:val="000000"/>
          <w:sz w:val="24"/>
          <w:szCs w:val="20"/>
          <w:highlight w:val="none"/>
        </w:rPr>
      </w:r>
      <w:r/>
    </w:p>
    <w:p>
      <w:pPr>
        <w:pStyle w:val="825"/>
        <w:ind w:firstLine="480"/>
        <w:spacing w:line="560" w:lineRule="exact"/>
        <w:rPr>
          <w:rFonts w:hint="eastAsia"/>
          <w:color w:val="000000"/>
          <w:sz w:val="24"/>
          <w:szCs w:val="20"/>
          <w:highlight w:val="none"/>
        </w:rPr>
      </w:pPr>
      <w:r>
        <w:rPr>
          <w:rFonts w:hint="eastAsia"/>
          <w:color w:val="000000"/>
          <w:sz w:val="24"/>
          <w:szCs w:val="20"/>
          <w:highlight w:val="none"/>
        </w:rPr>
        <w:t xml:space="preserve">（2）管理机构和管理制度；</w:t>
      </w:r>
      <w:r>
        <w:rPr>
          <w:rFonts w:hint="eastAsia"/>
          <w:color w:val="000000"/>
          <w:sz w:val="24"/>
          <w:szCs w:val="20"/>
          <w:highlight w:val="none"/>
        </w:rPr>
      </w:r>
      <w:r/>
    </w:p>
    <w:p>
      <w:pPr>
        <w:pStyle w:val="825"/>
        <w:ind w:firstLine="480"/>
        <w:spacing w:line="560" w:lineRule="exact"/>
        <w:rPr>
          <w:rFonts w:hint="eastAsia"/>
          <w:color w:val="000000"/>
          <w:sz w:val="24"/>
          <w:szCs w:val="20"/>
          <w:highlight w:val="none"/>
        </w:rPr>
      </w:pPr>
      <w:r>
        <w:rPr>
          <w:rFonts w:hint="eastAsia"/>
          <w:color w:val="000000"/>
          <w:sz w:val="24"/>
          <w:szCs w:val="20"/>
          <w:highlight w:val="none"/>
        </w:rPr>
        <w:t xml:space="preserve">（3）重点特色树种及其他乔灌草的修剪措施；</w:t>
      </w:r>
      <w:r>
        <w:rPr>
          <w:rFonts w:hint="eastAsia"/>
          <w:color w:val="000000"/>
          <w:sz w:val="24"/>
          <w:szCs w:val="20"/>
          <w:highlight w:val="none"/>
        </w:rPr>
      </w:r>
      <w:r/>
    </w:p>
    <w:p>
      <w:pPr>
        <w:pStyle w:val="825"/>
        <w:ind w:firstLine="480"/>
        <w:spacing w:line="560" w:lineRule="exact"/>
        <w:rPr>
          <w:rFonts w:hint="eastAsia"/>
          <w:color w:val="000000"/>
          <w:sz w:val="24"/>
          <w:szCs w:val="20"/>
          <w:highlight w:val="none"/>
        </w:rPr>
      </w:pPr>
      <w:r>
        <w:rPr>
          <w:rFonts w:hint="eastAsia"/>
          <w:color w:val="000000"/>
          <w:sz w:val="24"/>
          <w:szCs w:val="20"/>
          <w:highlight w:val="none"/>
        </w:rPr>
        <w:t xml:space="preserve">（4）安全、文明作业管理实施方案及保障措施；</w:t>
      </w:r>
      <w:r>
        <w:rPr>
          <w:rFonts w:hint="eastAsia"/>
          <w:color w:val="000000"/>
          <w:sz w:val="24"/>
          <w:szCs w:val="20"/>
          <w:highlight w:val="none"/>
        </w:rPr>
      </w:r>
      <w:r/>
    </w:p>
    <w:p>
      <w:pPr>
        <w:pStyle w:val="825"/>
        <w:ind w:firstLine="480"/>
        <w:spacing w:line="560" w:lineRule="exact"/>
        <w:rPr>
          <w:rFonts w:hint="eastAsia"/>
          <w:color w:val="000000"/>
          <w:sz w:val="24"/>
          <w:szCs w:val="20"/>
          <w:highlight w:val="none"/>
        </w:rPr>
      </w:pPr>
      <w:r>
        <w:rPr>
          <w:rFonts w:hint="eastAsia"/>
          <w:color w:val="000000"/>
          <w:sz w:val="24"/>
          <w:szCs w:val="20"/>
          <w:highlight w:val="none"/>
        </w:rPr>
        <w:t xml:space="preserve">（5）恶劣天气应急预案；</w:t>
      </w:r>
      <w:r>
        <w:rPr>
          <w:rFonts w:hint="eastAsia"/>
          <w:color w:val="000000"/>
          <w:sz w:val="24"/>
          <w:szCs w:val="20"/>
          <w:highlight w:val="none"/>
        </w:rPr>
      </w:r>
      <w:r/>
    </w:p>
    <w:p>
      <w:pPr>
        <w:pStyle w:val="825"/>
        <w:ind w:firstLine="480"/>
        <w:spacing w:line="560" w:lineRule="exact"/>
        <w:rPr>
          <w:rFonts w:hint="eastAsia" w:eastAsia="宋体"/>
          <w:color w:val="000000"/>
          <w:sz w:val="24"/>
          <w:szCs w:val="20"/>
          <w:highlight w:val="none"/>
          <w:lang w:eastAsia="zh-CN"/>
        </w:rPr>
      </w:pPr>
      <w:r>
        <w:rPr>
          <w:rFonts w:hint="eastAsia"/>
          <w:color w:val="000000"/>
          <w:sz w:val="24"/>
          <w:szCs w:val="20"/>
          <w:highlight w:val="none"/>
        </w:rPr>
        <w:t xml:space="preserve">（</w:t>
      </w:r>
      <w:r>
        <w:rPr>
          <w:rFonts w:hint="eastAsia"/>
          <w:color w:val="000000"/>
          <w:sz w:val="24"/>
          <w:szCs w:val="20"/>
          <w:highlight w:val="none"/>
          <w:lang w:val="en-US" w:eastAsia="zh-CN"/>
        </w:rPr>
        <w:t xml:space="preserve">6</w:t>
      </w:r>
      <w:r>
        <w:rPr>
          <w:rFonts w:hint="eastAsia"/>
          <w:color w:val="000000"/>
          <w:sz w:val="24"/>
          <w:szCs w:val="20"/>
          <w:highlight w:val="none"/>
        </w:rPr>
        <w:t xml:space="preserve">）重大活动，检查评比和节假日保障措施</w:t>
      </w:r>
      <w:r>
        <w:rPr>
          <w:rFonts w:hint="eastAsia"/>
          <w:color w:val="000000"/>
          <w:sz w:val="24"/>
          <w:szCs w:val="20"/>
          <w:highlight w:val="none"/>
          <w:lang w:eastAsia="zh-CN"/>
        </w:rPr>
        <w:t xml:space="preserve">；</w:t>
      </w:r>
      <w:r>
        <w:rPr>
          <w:rFonts w:hint="eastAsia" w:eastAsia="宋体"/>
          <w:color w:val="000000"/>
          <w:sz w:val="24"/>
          <w:szCs w:val="20"/>
          <w:highlight w:val="none"/>
          <w:lang w:eastAsia="zh-CN"/>
        </w:rPr>
      </w:r>
      <w:r/>
    </w:p>
    <w:p>
      <w:pPr>
        <w:pStyle w:val="825"/>
        <w:ind w:firstLine="480"/>
        <w:spacing w:line="560" w:lineRule="exact"/>
        <w:rPr>
          <w:rFonts w:hint="eastAsia" w:ascii="Times New Roman" w:hAnsi="Times New Roman" w:eastAsia="宋体" w:cs="Times New Roman"/>
          <w:color w:val="000000"/>
          <w:sz w:val="24"/>
          <w:szCs w:val="20"/>
          <w:highlight w:val="none"/>
        </w:rPr>
      </w:pPr>
      <w:r>
        <w:rPr>
          <w:rFonts w:hint="eastAsia"/>
          <w:color w:val="000000"/>
          <w:sz w:val="24"/>
          <w:szCs w:val="20"/>
          <w:highlight w:val="none"/>
        </w:rPr>
        <w:t xml:space="preserve">（</w:t>
      </w:r>
      <w:r>
        <w:rPr>
          <w:rFonts w:hint="eastAsia"/>
          <w:color w:val="000000"/>
          <w:sz w:val="24"/>
          <w:szCs w:val="20"/>
          <w:highlight w:val="none"/>
          <w:lang w:val="en-US" w:eastAsia="zh-CN"/>
        </w:rPr>
        <w:t xml:space="preserve">7</w:t>
      </w:r>
      <w:r>
        <w:rPr>
          <w:rFonts w:hint="eastAsia"/>
          <w:color w:val="000000"/>
          <w:sz w:val="24"/>
          <w:szCs w:val="20"/>
          <w:highlight w:val="none"/>
        </w:rPr>
        <w:t xml:space="preserve">）其他</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rPr>
          <w:color w:val="000000"/>
          <w:sz w:val="24"/>
          <w:szCs w:val="20"/>
          <w:highlight w:val="none"/>
        </w:rPr>
      </w:pPr>
      <w:r>
        <w:rPr>
          <w:rFonts w:hint="eastAsia"/>
          <w:color w:val="000000"/>
          <w:sz w:val="24"/>
          <w:szCs w:val="20"/>
          <w:highlight w:val="none"/>
          <w:lang w:val="en-US" w:eastAsia="zh-CN"/>
        </w:rPr>
        <w:br w:type="page" w:clear="all"/>
      </w:r>
      <w:r>
        <w:rPr>
          <w:rFonts w:hint="eastAsia"/>
          <w:color w:val="000000"/>
          <w:sz w:val="24"/>
          <w:szCs w:val="20"/>
          <w:highlight w:val="none"/>
          <w:lang w:val="en-US" w:eastAsia="zh-CN"/>
        </w:rPr>
        <w:t xml:space="preserve">9</w:t>
      </w:r>
      <w:r>
        <w:rPr>
          <w:rFonts w:hint="eastAsia"/>
          <w:color w:val="000000"/>
          <w:sz w:val="24"/>
          <w:szCs w:val="20"/>
          <w:highlight w:val="none"/>
        </w:rPr>
        <w:t xml:space="preserve">  参加本项目人员一览表</w:t>
      </w:r>
      <w:r>
        <w:rPr>
          <w:color w:val="000000"/>
          <w:sz w:val="24"/>
          <w:szCs w:val="20"/>
          <w:highlight w:val="none"/>
        </w:rPr>
      </w:r>
      <w:r/>
    </w:p>
    <w:p>
      <w:pPr>
        <w:pStyle w:val="825"/>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825"/>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825"/>
        <w:spacing w:line="360" w:lineRule="auto"/>
        <w:rPr>
          <w:rFonts w:ascii="宋体" w:hAnsi="宋体"/>
          <w:sz w:val="22"/>
          <w:highlight w:val="none"/>
        </w:rPr>
      </w:pPr>
      <w:r>
        <w:rPr>
          <w:rFonts w:ascii="宋体" w:hAnsi="宋体"/>
          <w:sz w:val="22"/>
          <w:highlight w:val="none"/>
        </w:rPr>
      </w:r>
      <w:r/>
    </w:p>
    <w:p>
      <w:pPr>
        <w:pStyle w:val="825"/>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2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82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82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82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82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82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82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82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82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82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82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82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825"/>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825"/>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rPr>
          <w:rFonts w:ascii="宋体" w:hAnsi="宋体" w:cs="宋体"/>
          <w:b/>
          <w:sz w:val="24"/>
          <w:highlight w:val="none"/>
        </w:rPr>
      </w:r>
      <w:r/>
    </w:p>
    <w:p>
      <w:pPr>
        <w:pStyle w:val="825"/>
        <w:spacing w:line="360" w:lineRule="auto"/>
        <w:rPr>
          <w:rFonts w:ascii="宋体" w:hAnsi="宋体"/>
          <w:sz w:val="24"/>
          <w:highlight w:val="none"/>
        </w:rPr>
      </w:pPr>
      <w:r>
        <w:rPr>
          <w:rFonts w:ascii="宋体" w:hAnsi="宋体"/>
          <w:sz w:val="24"/>
          <w:highlight w:val="none"/>
        </w:rPr>
      </w:r>
      <w:r/>
    </w:p>
    <w:p>
      <w:pPr>
        <w:pStyle w:val="82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2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25"/>
        <w:rPr>
          <w:rFonts w:hint="eastAsia"/>
          <w:sz w:val="22"/>
          <w:highlight w:val="none"/>
        </w:rPr>
      </w:pPr>
      <w:r>
        <w:rPr>
          <w:sz w:val="22"/>
          <w:highlight w:val="none"/>
        </w:rPr>
        <w:br w:type="page" w:clear="all"/>
      </w:r>
      <w:bookmarkStart w:id="900" w:name="_Toc288738839"/>
      <w:r/>
      <w:bookmarkStart w:id="901" w:name="_Toc288738397"/>
      <w:r>
        <w:rPr>
          <w:rFonts w:hint="eastAsia"/>
          <w:sz w:val="22"/>
          <w:highlight w:val="none"/>
        </w:rPr>
      </w:r>
      <w:r/>
    </w:p>
    <w:p>
      <w:pPr>
        <w:pStyle w:val="825"/>
        <w:rPr>
          <w:rFonts w:hint="eastAsia" w:eastAsia="宋体"/>
          <w:color w:val="000000"/>
          <w:sz w:val="24"/>
          <w:szCs w:val="20"/>
          <w:highlight w:val="none"/>
          <w:lang w:eastAsia="zh-CN"/>
        </w:rPr>
      </w:pPr>
      <w:r>
        <w:rPr>
          <w:rFonts w:hint="eastAsia"/>
          <w:color w:val="000000"/>
          <w:sz w:val="24"/>
          <w:szCs w:val="20"/>
          <w:highlight w:val="none"/>
          <w:lang w:val="en-US" w:eastAsia="zh-CN"/>
        </w:rPr>
        <w:t xml:space="preserve">10</w:t>
      </w:r>
      <w:r>
        <w:rPr>
          <w:rFonts w:hint="eastAsia"/>
          <w:color w:val="000000"/>
          <w:sz w:val="24"/>
          <w:szCs w:val="20"/>
          <w:highlight w:val="none"/>
        </w:rPr>
        <w:t xml:space="preserve">  相关业绩案例一览表</w:t>
      </w:r>
      <w:r>
        <w:rPr>
          <w:rFonts w:hint="eastAsia" w:eastAsia="宋体"/>
          <w:color w:val="000000"/>
          <w:sz w:val="24"/>
          <w:szCs w:val="20"/>
          <w:highlight w:val="none"/>
          <w:lang w:eastAsia="zh-CN"/>
        </w:rPr>
      </w:r>
      <w:r/>
    </w:p>
    <w:p>
      <w:pPr>
        <w:pStyle w:val="825"/>
        <w:rPr>
          <w:color w:val="000000"/>
          <w:sz w:val="24"/>
          <w:szCs w:val="20"/>
          <w:highlight w:val="none"/>
        </w:rPr>
      </w:pPr>
      <w:r>
        <w:rPr>
          <w:color w:val="000000"/>
          <w:sz w:val="24"/>
          <w:szCs w:val="20"/>
          <w:highlight w:val="none"/>
        </w:rPr>
      </w:r>
      <w:r/>
    </w:p>
    <w:p>
      <w:pPr>
        <w:pStyle w:val="825"/>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0"/>
      <w:r/>
      <w:bookmarkEnd w:id="901"/>
      <w:r>
        <w:rPr>
          <w:rFonts w:ascii="宋体" w:hAnsi="宋体"/>
          <w:b/>
          <w:sz w:val="32"/>
          <w:szCs w:val="32"/>
          <w:highlight w:val="none"/>
        </w:rPr>
      </w:r>
      <w:r/>
    </w:p>
    <w:p>
      <w:pPr>
        <w:pStyle w:val="825"/>
        <w:jc w:val="center"/>
        <w:spacing w:line="360" w:lineRule="auto"/>
        <w:rPr>
          <w:rFonts w:ascii="宋体" w:hAnsi="宋体"/>
          <w:b/>
          <w:sz w:val="28"/>
          <w:szCs w:val="30"/>
          <w:highlight w:val="none"/>
        </w:rPr>
      </w:pPr>
      <w:r>
        <w:rPr>
          <w:rFonts w:ascii="宋体" w:hAnsi="宋体"/>
          <w:b/>
          <w:sz w:val="28"/>
          <w:szCs w:val="30"/>
          <w:highlight w:val="none"/>
        </w:rPr>
      </w:r>
      <w:r/>
    </w:p>
    <w:p>
      <w:pPr>
        <w:pStyle w:val="825"/>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5"/>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5"/>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5"/>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5"/>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5"/>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5"/>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5"/>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5"/>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5"/>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5"/>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5"/>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5"/>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5"/>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825"/>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825"/>
        <w:spacing w:line="360" w:lineRule="auto"/>
        <w:rPr>
          <w:rFonts w:ascii="宋体" w:hAnsi="宋体" w:cs="宋体"/>
          <w:sz w:val="24"/>
          <w:highlight w:val="none"/>
        </w:rPr>
      </w:pPr>
      <w:r>
        <w:rPr>
          <w:rFonts w:ascii="宋体" w:hAnsi="宋体" w:cs="宋体"/>
          <w:sz w:val="24"/>
          <w:highlight w:val="none"/>
        </w:rPr>
      </w:r>
      <w:r/>
    </w:p>
    <w:p>
      <w:pPr>
        <w:pStyle w:val="82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2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25"/>
        <w:rPr>
          <w:highlight w:val="none"/>
        </w:rPr>
      </w:pPr>
      <w:r>
        <w:rPr>
          <w:highlight w:val="none"/>
        </w:rPr>
      </w:r>
      <w:r/>
    </w:p>
    <w:p>
      <w:pPr>
        <w:pStyle w:val="825"/>
        <w:rPr>
          <w:highlight w:val="none"/>
        </w:rPr>
      </w:pPr>
      <w:r>
        <w:rPr>
          <w:highlight w:val="none"/>
        </w:rPr>
      </w:r>
      <w:r/>
    </w:p>
    <w:p>
      <w:pPr>
        <w:pStyle w:val="825"/>
        <w:rPr>
          <w:highlight w:val="none"/>
        </w:rPr>
      </w:pPr>
      <w:r>
        <w:rPr>
          <w:highlight w:val="none"/>
        </w:rPr>
      </w:r>
      <w:r/>
    </w:p>
    <w:p>
      <w:pPr>
        <w:pStyle w:val="825"/>
        <w:rPr>
          <w:highlight w:val="none"/>
        </w:rPr>
      </w:pPr>
      <w:r>
        <w:rPr>
          <w:highlight w:val="none"/>
        </w:rPr>
      </w:r>
      <w:r/>
    </w:p>
    <w:p>
      <w:pPr>
        <w:pStyle w:val="825"/>
        <w:rPr>
          <w:highlight w:val="none"/>
        </w:rPr>
      </w:pPr>
      <w:r>
        <w:rPr>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rFonts w:hint="eastAsia"/>
          <w:color w:val="000000"/>
          <w:sz w:val="24"/>
          <w:szCs w:val="20"/>
          <w:highlight w:val="none"/>
        </w:rPr>
        <w:outlineLvl w:val="2"/>
      </w:pPr>
      <w:r>
        <w:rPr>
          <w:rFonts w:hint="eastAsia"/>
          <w:color w:val="000000"/>
          <w:sz w:val="24"/>
          <w:szCs w:val="20"/>
          <w:highlight w:val="none"/>
        </w:rPr>
      </w:r>
      <w:r/>
    </w:p>
    <w:p>
      <w:pPr>
        <w:pStyle w:val="825"/>
        <w:spacing w:line="360" w:lineRule="auto"/>
        <w:rPr>
          <w:b/>
          <w:color w:val="000000"/>
          <w:sz w:val="24"/>
          <w:highlight w:val="none"/>
        </w:rPr>
      </w:pPr>
      <w:r>
        <w:rPr>
          <w:b/>
          <w:color w:val="000000"/>
          <w:sz w:val="24"/>
          <w:highlight w:val="none"/>
        </w:rPr>
      </w:r>
      <w:r/>
    </w:p>
    <w:p>
      <w:pPr>
        <w:pStyle w:val="825"/>
        <w:spacing w:line="360" w:lineRule="auto"/>
        <w:rPr>
          <w:color w:val="000000"/>
          <w:sz w:val="24"/>
          <w:szCs w:val="20"/>
          <w:highlight w:val="none"/>
        </w:rPr>
        <w:outlineLvl w:val="2"/>
      </w:pP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825"/>
        <w:jc w:val="left"/>
        <w:widowControl/>
        <w:rPr>
          <w:b/>
          <w:sz w:val="36"/>
          <w:szCs w:val="36"/>
          <w:highlight w:val="none"/>
        </w:rPr>
      </w:pPr>
      <w:r>
        <w:rPr>
          <w:b/>
          <w:sz w:val="36"/>
          <w:szCs w:val="36"/>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Wingdings">
    <w:panose1 w:val="05000000000000000000"/>
  </w:font>
  <w:font w:name="MingLiU">
    <w:panose1 w:val="02020500000000000000"/>
  </w:font>
  <w:font w:name="新宋体">
    <w:panose1 w:val="02010609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right" w:pos="8306" w:leader="none"/>
      </w:tabs>
      <w:rPr>
        <w:rStyle w:val="898"/>
      </w:rPr>
      <w:framePr w:wrap="around" w:vAnchor="text" w:hAnchor="margin" w:xAlign="right" w:y="1"/>
    </w:pPr>
    <w:r>
      <w:rPr>
        <w:rStyle w:val="898"/>
      </w:rPr>
    </w:r>
    <w:r/>
  </w:p>
  <w:p>
    <w:pPr>
      <w:pStyle w:val="873"/>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right" w:pos="8306" w:leader="none"/>
      </w:tabs>
      <w:rPr>
        <w:rStyle w:val="898"/>
      </w:rPr>
      <w:framePr w:wrap="around" w:vAnchor="text" w:hAnchor="margin" w:xAlign="right" w:y="1"/>
    </w:pPr>
    <w:r>
      <w:rPr>
        <w:rStyle w:val="898"/>
      </w:rPr>
      <w:fldChar w:fldCharType="begin"/>
    </w:r>
    <w:r>
      <w:rPr>
        <w:rStyle w:val="898"/>
      </w:rPr>
      <w:instrText xml:space="preserve">PAGE  </w:instrText>
    </w:r>
    <w:r>
      <w:rPr>
        <w:rStyle w:val="898"/>
      </w:rPr>
      <w:fldChar w:fldCharType="end"/>
    </w:r>
    <w:r>
      <w:rPr>
        <w:rStyle w:val="898"/>
      </w:rPr>
    </w:r>
    <w:r/>
  </w:p>
  <w:p>
    <w:pPr>
      <w:pStyle w:val="873"/>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82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82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right" w:pos="8306" w:leader="none"/>
      </w:tabs>
      <w:rPr>
        <w:rStyle w:val="898"/>
      </w:rPr>
      <w:framePr w:wrap="around" w:vAnchor="text" w:hAnchor="margin" w:xAlign="right" w:y="1"/>
    </w:pPr>
    <w:r>
      <w:rPr>
        <w:rStyle w:val="898"/>
      </w:rPr>
      <w:fldChar w:fldCharType="begin"/>
    </w:r>
    <w:r>
      <w:rPr>
        <w:rStyle w:val="898"/>
      </w:rPr>
      <w:instrText xml:space="preserve">PAGE  </w:instrText>
    </w:r>
    <w:r>
      <w:rPr>
        <w:rStyle w:val="898"/>
      </w:rPr>
      <w:fldChar w:fldCharType="end"/>
    </w:r>
    <w:r>
      <w:rPr>
        <w:rStyle w:val="898"/>
      </w:rPr>
    </w:r>
    <w:r/>
  </w:p>
  <w:p>
    <w:pPr>
      <w:pStyle w:val="873"/>
      <w:ind w:right="360"/>
      <w:tabs>
        <w:tab w:val="center" w:pos="4153" w:leader="none"/>
        <w:tab w:val="right" w:pos="8306" w:leader="none"/>
      </w:tabs>
    </w:pPr>
    <w:r/>
    <w:r/>
  </w:p>
  <w:p>
    <w:pPr>
      <w:pStyle w:val="82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right"/>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right" w:pos="8306" w:leader="none"/>
      </w:tabs>
    </w:pPr>
    <w:r/>
    <w:r/>
  </w:p>
  <w:p>
    <w:pPr>
      <w:pStyle w:val="82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25"/>
        <w:ind w:left="4941" w:hanging="1140"/>
        <w:tabs>
          <w:tab w:val="num" w:pos="4941" w:leader="none"/>
        </w:tabs>
      </w:pPr>
      <w:rPr>
        <w:rFonts w:hint="eastAsia"/>
      </w:rPr>
    </w:lvl>
    <w:lvl w:ilvl="1">
      <w:start w:val="1"/>
      <w:numFmt w:val="lowerLetter"/>
      <w:isLgl w:val="false"/>
      <w:suff w:val="tab"/>
      <w:lvlText w:val="%2)"/>
      <w:lvlJc w:val="left"/>
      <w:pPr>
        <w:pStyle w:val="825"/>
        <w:ind w:left="4641" w:hanging="420"/>
        <w:tabs>
          <w:tab w:val="num" w:pos="4641" w:leader="none"/>
        </w:tabs>
      </w:pPr>
    </w:lvl>
    <w:lvl w:ilvl="2">
      <w:start w:val="1"/>
      <w:numFmt w:val="lowerRoman"/>
      <w:isLgl w:val="false"/>
      <w:suff w:val="tab"/>
      <w:lvlText w:val="%3."/>
      <w:lvlJc w:val="right"/>
      <w:pPr>
        <w:pStyle w:val="825"/>
        <w:ind w:left="5061" w:hanging="420"/>
        <w:tabs>
          <w:tab w:val="num" w:pos="5061" w:leader="none"/>
        </w:tabs>
      </w:pPr>
    </w:lvl>
    <w:lvl w:ilvl="3">
      <w:start w:val="1"/>
      <w:numFmt w:val="decimal"/>
      <w:isLgl w:val="false"/>
      <w:suff w:val="tab"/>
      <w:lvlText w:val="%4."/>
      <w:lvlJc w:val="left"/>
      <w:pPr>
        <w:pStyle w:val="825"/>
        <w:ind w:left="5481" w:hanging="420"/>
        <w:tabs>
          <w:tab w:val="num" w:pos="5481" w:leader="none"/>
        </w:tabs>
      </w:pPr>
    </w:lvl>
    <w:lvl w:ilvl="4">
      <w:start w:val="1"/>
      <w:numFmt w:val="lowerLetter"/>
      <w:isLgl w:val="false"/>
      <w:suff w:val="tab"/>
      <w:lvlText w:val="%5)"/>
      <w:lvlJc w:val="left"/>
      <w:pPr>
        <w:pStyle w:val="825"/>
        <w:ind w:left="5901" w:hanging="420"/>
        <w:tabs>
          <w:tab w:val="num" w:pos="5901" w:leader="none"/>
        </w:tabs>
      </w:pPr>
    </w:lvl>
    <w:lvl w:ilvl="5">
      <w:start w:val="1"/>
      <w:numFmt w:val="lowerRoman"/>
      <w:isLgl w:val="false"/>
      <w:suff w:val="tab"/>
      <w:lvlText w:val="%6."/>
      <w:lvlJc w:val="right"/>
      <w:pPr>
        <w:pStyle w:val="825"/>
        <w:ind w:left="6321" w:hanging="420"/>
        <w:tabs>
          <w:tab w:val="num" w:pos="6321" w:leader="none"/>
        </w:tabs>
      </w:pPr>
    </w:lvl>
    <w:lvl w:ilvl="6">
      <w:start w:val="1"/>
      <w:numFmt w:val="decimal"/>
      <w:isLgl w:val="false"/>
      <w:suff w:val="tab"/>
      <w:lvlText w:val="%7."/>
      <w:lvlJc w:val="left"/>
      <w:pPr>
        <w:pStyle w:val="825"/>
        <w:ind w:left="6741" w:hanging="420"/>
        <w:tabs>
          <w:tab w:val="num" w:pos="6741" w:leader="none"/>
        </w:tabs>
      </w:pPr>
    </w:lvl>
    <w:lvl w:ilvl="7">
      <w:start w:val="1"/>
      <w:numFmt w:val="lowerLetter"/>
      <w:isLgl w:val="false"/>
      <w:suff w:val="tab"/>
      <w:lvlText w:val="%8)"/>
      <w:lvlJc w:val="left"/>
      <w:pPr>
        <w:pStyle w:val="825"/>
        <w:ind w:left="7161" w:hanging="420"/>
        <w:tabs>
          <w:tab w:val="num" w:pos="7161" w:leader="none"/>
        </w:tabs>
      </w:pPr>
    </w:lvl>
    <w:lvl w:ilvl="8">
      <w:start w:val="1"/>
      <w:numFmt w:val="lowerRoman"/>
      <w:isLgl w:val="false"/>
      <w:suff w:val="tab"/>
      <w:lvlText w:val="%9."/>
      <w:lvlJc w:val="right"/>
      <w:pPr>
        <w:pStyle w:val="825"/>
        <w:ind w:left="7581" w:hanging="420"/>
        <w:tabs>
          <w:tab w:val="num" w:pos="7581" w:leader="none"/>
        </w:tabs>
      </w:pPr>
    </w:lvl>
  </w:abstractNum>
  <w:abstractNum w:abstractNumId="1">
    <w:multiLevelType w:val="hybridMultilevel"/>
    <w:lvl w:ilvl="0">
      <w:start w:val="1"/>
      <w:numFmt w:val="decimal"/>
      <w:pStyle w:val="937"/>
      <w:isLgl w:val="false"/>
      <w:suff w:val="tab"/>
      <w:lvlText w:val="%1."/>
      <w:lvlJc w:val="left"/>
      <w:pPr>
        <w:pStyle w:val="825"/>
        <w:ind w:left="420" w:hanging="420"/>
      </w:pPr>
    </w:lvl>
    <w:lvl w:ilvl="1">
      <w:start w:val="1"/>
      <w:numFmt w:val="decimal"/>
      <w:isLgl w:val="false"/>
      <w:suff w:val="tab"/>
      <w:lvlText w:val="（%2）"/>
      <w:lvlJc w:val="left"/>
      <w:pPr>
        <w:pStyle w:val="825"/>
        <w:ind w:left="1140" w:hanging="720"/>
        <w:tabs>
          <w:tab w:val="num" w:pos="1140" w:leader="none"/>
        </w:tabs>
      </w:pPr>
      <w:rPr>
        <w:rFonts w:hint="eastAsia"/>
      </w:rPr>
    </w:lvl>
    <w:lvl w:ilvl="2">
      <w:start w:val="1"/>
      <w:numFmt w:val="lowerRoman"/>
      <w:isLgl w:val="false"/>
      <w:suff w:val="tab"/>
      <w:lvlText w:val="%3."/>
      <w:lvlJc w:val="right"/>
      <w:pPr>
        <w:pStyle w:val="825"/>
        <w:ind w:left="1260" w:hanging="420"/>
      </w:pPr>
    </w:lvl>
    <w:lvl w:ilvl="3">
      <w:start w:val="1"/>
      <w:numFmt w:val="decimal"/>
      <w:isLgl w:val="false"/>
      <w:suff w:val="tab"/>
      <w:lvlText w:val="%4."/>
      <w:lvlJc w:val="left"/>
      <w:pPr>
        <w:pStyle w:val="825"/>
        <w:ind w:left="1680" w:hanging="420"/>
      </w:pPr>
    </w:lvl>
    <w:lvl w:ilvl="4">
      <w:start w:val="1"/>
      <w:numFmt w:val="lowerLetter"/>
      <w:isLgl w:val="false"/>
      <w:suff w:val="tab"/>
      <w:lvlText w:val="%5)"/>
      <w:lvlJc w:val="left"/>
      <w:pPr>
        <w:pStyle w:val="825"/>
        <w:ind w:left="2100" w:hanging="420"/>
      </w:pPr>
    </w:lvl>
    <w:lvl w:ilvl="5">
      <w:start w:val="1"/>
      <w:numFmt w:val="lowerRoman"/>
      <w:isLgl w:val="false"/>
      <w:suff w:val="tab"/>
      <w:lvlText w:val="%6."/>
      <w:lvlJc w:val="right"/>
      <w:pPr>
        <w:pStyle w:val="825"/>
        <w:ind w:left="2520" w:hanging="420"/>
      </w:pPr>
    </w:lvl>
    <w:lvl w:ilvl="6">
      <w:start w:val="1"/>
      <w:numFmt w:val="decimal"/>
      <w:isLgl w:val="false"/>
      <w:suff w:val="tab"/>
      <w:lvlText w:val="%7."/>
      <w:lvlJc w:val="left"/>
      <w:pPr>
        <w:pStyle w:val="825"/>
        <w:ind w:left="2940" w:hanging="420"/>
      </w:pPr>
    </w:lvl>
    <w:lvl w:ilvl="7">
      <w:start w:val="1"/>
      <w:numFmt w:val="lowerLetter"/>
      <w:isLgl w:val="false"/>
      <w:suff w:val="tab"/>
      <w:lvlText w:val="%8)"/>
      <w:lvlJc w:val="left"/>
      <w:pPr>
        <w:pStyle w:val="825"/>
        <w:ind w:left="3360" w:hanging="420"/>
      </w:pPr>
    </w:lvl>
    <w:lvl w:ilvl="8">
      <w:start w:val="1"/>
      <w:numFmt w:val="lowerRoman"/>
      <w:isLgl w:val="false"/>
      <w:suff w:val="tab"/>
      <w:lvlText w:val="%9."/>
      <w:lvlJc w:val="right"/>
      <w:pPr>
        <w:pStyle w:val="825"/>
        <w:ind w:left="3780" w:hanging="420"/>
      </w:pPr>
    </w:lvl>
  </w:abstractNum>
  <w:abstractNum w:abstractNumId="2">
    <w:multiLevelType w:val="hybridMultilevel"/>
    <w:lvl w:ilvl="0">
      <w:start w:val="1"/>
      <w:numFmt w:val="lowerLetter"/>
      <w:pStyle w:val="1012"/>
      <w:isLgl w:val="false"/>
      <w:suff w:val="tab"/>
      <w:lvlText w:val="%1)"/>
      <w:lvlJc w:val="left"/>
      <w:pPr>
        <w:pStyle w:val="825"/>
        <w:ind w:left="902" w:hanging="420"/>
      </w:pPr>
      <w:rPr>
        <w:color w:val="000000"/>
      </w:rPr>
    </w:lvl>
    <w:lvl w:ilvl="1">
      <w:start w:val="1"/>
      <w:numFmt w:val="lowerLetter"/>
      <w:isLgl w:val="false"/>
      <w:suff w:val="tab"/>
      <w:lvlText w:val="%2)"/>
      <w:lvlJc w:val="left"/>
      <w:pPr>
        <w:pStyle w:val="825"/>
        <w:ind w:left="1322" w:hanging="420"/>
      </w:pPr>
    </w:lvl>
    <w:lvl w:ilvl="2">
      <w:start w:val="1"/>
      <w:numFmt w:val="lowerRoman"/>
      <w:isLgl w:val="false"/>
      <w:suff w:val="tab"/>
      <w:lvlText w:val="%3."/>
      <w:lvlJc w:val="right"/>
      <w:pPr>
        <w:pStyle w:val="825"/>
        <w:ind w:left="1742" w:hanging="420"/>
      </w:pPr>
    </w:lvl>
    <w:lvl w:ilvl="3">
      <w:start w:val="1"/>
      <w:numFmt w:val="decimal"/>
      <w:isLgl w:val="false"/>
      <w:suff w:val="tab"/>
      <w:lvlText w:val="%4."/>
      <w:lvlJc w:val="left"/>
      <w:pPr>
        <w:pStyle w:val="825"/>
        <w:ind w:left="2162" w:hanging="420"/>
      </w:pPr>
    </w:lvl>
    <w:lvl w:ilvl="4">
      <w:start w:val="1"/>
      <w:numFmt w:val="lowerLetter"/>
      <w:isLgl w:val="false"/>
      <w:suff w:val="tab"/>
      <w:lvlText w:val="%5)"/>
      <w:lvlJc w:val="left"/>
      <w:pPr>
        <w:pStyle w:val="825"/>
        <w:ind w:left="2582" w:hanging="420"/>
      </w:pPr>
    </w:lvl>
    <w:lvl w:ilvl="5">
      <w:start w:val="1"/>
      <w:numFmt w:val="lowerRoman"/>
      <w:isLgl w:val="false"/>
      <w:suff w:val="tab"/>
      <w:lvlText w:val="%6."/>
      <w:lvlJc w:val="right"/>
      <w:pPr>
        <w:pStyle w:val="825"/>
        <w:ind w:left="3002" w:hanging="420"/>
      </w:pPr>
    </w:lvl>
    <w:lvl w:ilvl="6">
      <w:start w:val="1"/>
      <w:numFmt w:val="decimal"/>
      <w:isLgl w:val="false"/>
      <w:suff w:val="tab"/>
      <w:lvlText w:val="%7."/>
      <w:lvlJc w:val="left"/>
      <w:pPr>
        <w:pStyle w:val="825"/>
        <w:ind w:left="3422" w:hanging="420"/>
      </w:pPr>
    </w:lvl>
    <w:lvl w:ilvl="7">
      <w:start w:val="1"/>
      <w:numFmt w:val="lowerLetter"/>
      <w:isLgl w:val="false"/>
      <w:suff w:val="tab"/>
      <w:lvlText w:val="%8)"/>
      <w:lvlJc w:val="left"/>
      <w:pPr>
        <w:pStyle w:val="825"/>
        <w:ind w:left="3842" w:hanging="420"/>
      </w:pPr>
    </w:lvl>
    <w:lvl w:ilvl="8">
      <w:start w:val="1"/>
      <w:numFmt w:val="lowerRoman"/>
      <w:isLgl w:val="false"/>
      <w:suff w:val="tab"/>
      <w:lvlText w:val="%9."/>
      <w:lvlJc w:val="right"/>
      <w:pPr>
        <w:pStyle w:val="825"/>
        <w:ind w:left="4262" w:hanging="420"/>
      </w:pPr>
    </w:lvl>
  </w:abstractNum>
  <w:abstractNum w:abstractNumId="3">
    <w:multiLevelType w:val="hybridMultilevel"/>
    <w:lvl w:ilvl="0">
      <w:start w:val="1"/>
      <w:numFmt w:val="decimal"/>
      <w:pStyle w:val="982"/>
      <w:isLgl w:val="false"/>
      <w:suff w:val="tab"/>
      <w:lvlText w:val="%1."/>
      <w:lvlJc w:val="left"/>
      <w:pPr>
        <w:pStyle w:val="82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31"/>
      <w:isLgl w:val="false"/>
      <w:suff w:val="nothing"/>
      <w:lvlText w:val="%1　"/>
      <w:lvlJc w:val="left"/>
      <w:pPr>
        <w:pStyle w:val="82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2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25"/>
        <w:ind w:left="-25" w:firstLine="0"/>
      </w:pPr>
      <w:rPr>
        <w:rFonts w:ascii="Times New Roman" w:hAnsi="Times New Roman" w:eastAsia="黑体"/>
        <w:b/>
        <w:i w:val="0"/>
        <w:sz w:val="28"/>
      </w:rPr>
    </w:lvl>
    <w:lvl w:ilvl="3">
      <w:start w:val="1"/>
      <w:numFmt w:val="decimal"/>
      <w:pStyle w:val="967"/>
      <w:isLgl w:val="false"/>
      <w:suff w:val="nothing"/>
      <w:lvlText w:val="%1.%2.%3.%4　"/>
      <w:lvlJc w:val="left"/>
      <w:pPr>
        <w:pStyle w:val="82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2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25"/>
        <w:ind w:left="-25" w:firstLine="0"/>
      </w:pPr>
      <w:rPr>
        <w:rFonts w:ascii="Times New Roman" w:hAnsi="Times New Roman" w:eastAsia="宋体"/>
        <w:b/>
        <w:i w:val="0"/>
        <w:sz w:val="28"/>
      </w:rPr>
    </w:lvl>
    <w:lvl w:ilvl="6">
      <w:start w:val="1"/>
      <w:numFmt w:val="lowerLetter"/>
      <w:pStyle w:val="988"/>
      <w:isLgl w:val="false"/>
      <w:suff w:val="tab"/>
      <w:lvlText w:val="%7) "/>
      <w:lvlJc w:val="left"/>
      <w:pPr>
        <w:pStyle w:val="825"/>
        <w:ind w:left="-125" w:firstLine="400"/>
        <w:tabs>
          <w:tab w:val="num" w:pos="635" w:leader="none"/>
        </w:tabs>
      </w:pPr>
      <w:rPr>
        <w:rFonts w:ascii="Times New Roman" w:hAnsi="Times New Roman" w:eastAsia="宋体"/>
        <w:b/>
        <w:i w:val="0"/>
        <w:color w:val="000000"/>
        <w:sz w:val="28"/>
        <w:u w:val="none"/>
      </w:rPr>
    </w:lvl>
    <w:lvl w:ilvl="7">
      <w:start w:val="1"/>
      <w:numFmt w:val="decimal"/>
      <w:pStyle w:val="951"/>
      <w:isLgl w:val="false"/>
      <w:suff w:val="tab"/>
      <w:lvlText w:val="%8) "/>
      <w:lvlJc w:val="left"/>
      <w:pPr>
        <w:pStyle w:val="82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2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25"/>
        <w:ind w:left="768" w:hanging="360"/>
        <w:tabs>
          <w:tab w:val="num" w:pos="768" w:leader="none"/>
        </w:tabs>
      </w:pPr>
      <w:rPr>
        <w:rFonts w:hint="eastAsia"/>
      </w:rPr>
    </w:lvl>
    <w:lvl w:ilvl="1">
      <w:start w:val="1"/>
      <w:numFmt w:val="decimal"/>
      <w:pStyle w:val="969"/>
      <w:isLgl w:val="false"/>
      <w:suff w:val="tab"/>
      <w:lvlText w:val="%2、"/>
      <w:lvlJc w:val="left"/>
      <w:pPr>
        <w:pStyle w:val="825"/>
        <w:ind w:left="1188" w:hanging="360"/>
        <w:tabs>
          <w:tab w:val="num" w:pos="1188" w:leader="none"/>
        </w:tabs>
      </w:pPr>
      <w:rPr>
        <w:rFonts w:hint="eastAsia"/>
      </w:rPr>
    </w:lvl>
    <w:lvl w:ilvl="2">
      <w:start w:val="1"/>
      <w:numFmt w:val="decimal"/>
      <w:isLgl w:val="false"/>
      <w:suff w:val="tab"/>
      <w:lvlText w:val="（%3）"/>
      <w:lvlJc w:val="left"/>
      <w:pPr>
        <w:pStyle w:val="825"/>
        <w:ind w:left="1968" w:hanging="720"/>
        <w:tabs>
          <w:tab w:val="num" w:pos="1968" w:leader="none"/>
        </w:tabs>
      </w:pPr>
      <w:rPr>
        <w:rFonts w:hint="eastAsia"/>
        <w:u w:val="none"/>
      </w:rPr>
    </w:lvl>
    <w:lvl w:ilvl="3">
      <w:start w:val="1"/>
      <w:numFmt w:val="decimal"/>
      <w:isLgl w:val="false"/>
      <w:suff w:val="tab"/>
      <w:lvlText w:val="%4."/>
      <w:lvlJc w:val="left"/>
      <w:pPr>
        <w:pStyle w:val="825"/>
        <w:ind w:left="2088" w:hanging="420"/>
        <w:tabs>
          <w:tab w:val="num" w:pos="2088" w:leader="none"/>
        </w:tabs>
      </w:pPr>
    </w:lvl>
    <w:lvl w:ilvl="4">
      <w:start w:val="1"/>
      <w:numFmt w:val="lowerLetter"/>
      <w:isLgl w:val="false"/>
      <w:suff w:val="tab"/>
      <w:lvlText w:val="%5)"/>
      <w:lvlJc w:val="left"/>
      <w:pPr>
        <w:pStyle w:val="825"/>
        <w:ind w:left="2508" w:hanging="420"/>
        <w:tabs>
          <w:tab w:val="num" w:pos="2508" w:leader="none"/>
        </w:tabs>
      </w:pPr>
    </w:lvl>
    <w:lvl w:ilvl="5">
      <w:start w:val="1"/>
      <w:numFmt w:val="lowerRoman"/>
      <w:isLgl w:val="false"/>
      <w:suff w:val="tab"/>
      <w:lvlText w:val="%6."/>
      <w:lvlJc w:val="right"/>
      <w:pPr>
        <w:pStyle w:val="825"/>
        <w:ind w:left="2928" w:hanging="420"/>
        <w:tabs>
          <w:tab w:val="num" w:pos="2928" w:leader="none"/>
        </w:tabs>
      </w:pPr>
    </w:lvl>
    <w:lvl w:ilvl="6">
      <w:start w:val="1"/>
      <w:numFmt w:val="decimal"/>
      <w:isLgl w:val="false"/>
      <w:suff w:val="tab"/>
      <w:lvlText w:val="%7."/>
      <w:lvlJc w:val="left"/>
      <w:pPr>
        <w:pStyle w:val="825"/>
        <w:ind w:left="3348" w:hanging="420"/>
        <w:tabs>
          <w:tab w:val="num" w:pos="3348" w:leader="none"/>
        </w:tabs>
      </w:pPr>
    </w:lvl>
    <w:lvl w:ilvl="7">
      <w:start w:val="1"/>
      <w:numFmt w:val="lowerLetter"/>
      <w:isLgl w:val="false"/>
      <w:suff w:val="tab"/>
      <w:lvlText w:val="%8)"/>
      <w:lvlJc w:val="left"/>
      <w:pPr>
        <w:pStyle w:val="825"/>
        <w:ind w:left="3768" w:hanging="420"/>
        <w:tabs>
          <w:tab w:val="num" w:pos="3768" w:leader="none"/>
        </w:tabs>
      </w:pPr>
    </w:lvl>
    <w:lvl w:ilvl="8">
      <w:start w:val="1"/>
      <w:numFmt w:val="lowerRoman"/>
      <w:isLgl w:val="false"/>
      <w:suff w:val="tab"/>
      <w:lvlText w:val="%9."/>
      <w:lvlJc w:val="right"/>
      <w:pPr>
        <w:pStyle w:val="825"/>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25"/>
        <w:ind w:left="900" w:hanging="900"/>
        <w:tabs>
          <w:tab w:val="num" w:pos="900" w:leader="none"/>
        </w:tabs>
      </w:pPr>
      <w:rPr>
        <w:rFonts w:hint="eastAsia"/>
      </w:rPr>
    </w:lvl>
    <w:lvl w:ilvl="1">
      <w:start w:val="1"/>
      <w:numFmt w:val="decimal"/>
      <w:isLgl w:val="false"/>
      <w:suff w:val="tab"/>
      <w:lvlText w:val="%1.%2"/>
      <w:lvlJc w:val="left"/>
      <w:pPr>
        <w:pStyle w:val="82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25"/>
        <w:ind w:left="1980" w:hanging="900"/>
        <w:tabs>
          <w:tab w:val="num" w:pos="1980" w:leader="none"/>
        </w:tabs>
      </w:pPr>
      <w:rPr>
        <w:rFonts w:hint="eastAsia"/>
      </w:rPr>
    </w:lvl>
    <w:lvl w:ilvl="3">
      <w:start w:val="1"/>
      <w:numFmt w:val="decimal"/>
      <w:isLgl w:val="false"/>
      <w:suff w:val="tab"/>
      <w:lvlText w:val="%1.%2.%3.%4"/>
      <w:lvlJc w:val="left"/>
      <w:pPr>
        <w:pStyle w:val="825"/>
        <w:ind w:left="900" w:hanging="900"/>
        <w:tabs>
          <w:tab w:val="num" w:pos="900" w:leader="none"/>
        </w:tabs>
      </w:pPr>
      <w:rPr>
        <w:rFonts w:hint="eastAsia"/>
      </w:rPr>
    </w:lvl>
    <w:lvl w:ilvl="4">
      <w:start w:val="1"/>
      <w:numFmt w:val="decimal"/>
      <w:isLgl w:val="false"/>
      <w:suff w:val="tab"/>
      <w:lvlText w:val="%1.%2.%3.%4.%5"/>
      <w:lvlJc w:val="left"/>
      <w:pPr>
        <w:pStyle w:val="825"/>
        <w:ind w:left="900" w:hanging="900"/>
        <w:tabs>
          <w:tab w:val="num" w:pos="900" w:leader="none"/>
        </w:tabs>
      </w:pPr>
      <w:rPr>
        <w:rFonts w:hint="eastAsia"/>
      </w:rPr>
    </w:lvl>
    <w:lvl w:ilvl="5">
      <w:start w:val="1"/>
      <w:numFmt w:val="decimal"/>
      <w:isLgl w:val="false"/>
      <w:suff w:val="tab"/>
      <w:lvlText w:val="%1.%2.%3.%4.%5.%6"/>
      <w:lvlJc w:val="left"/>
      <w:pPr>
        <w:pStyle w:val="825"/>
        <w:ind w:left="900" w:hanging="900"/>
        <w:tabs>
          <w:tab w:val="num" w:pos="900" w:leader="none"/>
        </w:tabs>
      </w:pPr>
      <w:rPr>
        <w:rFonts w:hint="eastAsia"/>
      </w:rPr>
    </w:lvl>
    <w:lvl w:ilvl="6">
      <w:start w:val="1"/>
      <w:numFmt w:val="decimal"/>
      <w:isLgl w:val="false"/>
      <w:suff w:val="tab"/>
      <w:lvlText w:val="%1.%2.%3.%4.%5.%6.%7"/>
      <w:lvlJc w:val="left"/>
      <w:pPr>
        <w:pStyle w:val="825"/>
        <w:ind w:left="900" w:hanging="900"/>
        <w:tabs>
          <w:tab w:val="num" w:pos="900" w:leader="none"/>
        </w:tabs>
      </w:pPr>
      <w:rPr>
        <w:rFonts w:hint="eastAsia"/>
      </w:rPr>
    </w:lvl>
    <w:lvl w:ilvl="7">
      <w:start w:val="1"/>
      <w:numFmt w:val="decimal"/>
      <w:isLgl w:val="false"/>
      <w:suff w:val="tab"/>
      <w:lvlText w:val="%1.%2.%3.%4.%5.%6.%7.%8"/>
      <w:lvlJc w:val="left"/>
      <w:pPr>
        <w:pStyle w:val="825"/>
        <w:ind w:left="900" w:hanging="900"/>
        <w:tabs>
          <w:tab w:val="num" w:pos="900" w:leader="none"/>
        </w:tabs>
      </w:pPr>
      <w:rPr>
        <w:rFonts w:hint="eastAsia"/>
      </w:rPr>
    </w:lvl>
    <w:lvl w:ilvl="8">
      <w:start w:val="1"/>
      <w:numFmt w:val="decimal"/>
      <w:isLgl w:val="false"/>
      <w:suff w:val="tab"/>
      <w:lvlText w:val="%1.%2.%3.%4.%5.%6.%7.%8.%9"/>
      <w:lvlJc w:val="left"/>
      <w:pPr>
        <w:pStyle w:val="825"/>
        <w:ind w:left="900" w:hanging="900"/>
        <w:tabs>
          <w:tab w:val="num" w:pos="900" w:leader="none"/>
        </w:tabs>
      </w:pPr>
      <w:rPr>
        <w:rFonts w:hint="eastAsia"/>
      </w:rPr>
    </w:lvl>
  </w:abstractNum>
  <w:abstractNum w:abstractNumId="7">
    <w:multiLevelType w:val="hybridMultilevel"/>
    <w:lvl w:ilvl="0">
      <w:start w:val="1"/>
      <w:numFmt w:val="decimal"/>
      <w:pStyle w:val="936"/>
      <w:isLgl w:val="false"/>
      <w:suff w:val="tab"/>
      <w:lvlText w:val="%1)"/>
      <w:lvlJc w:val="left"/>
      <w:pPr>
        <w:pStyle w:val="825"/>
        <w:ind w:left="420" w:hanging="420"/>
      </w:pPr>
    </w:lvl>
    <w:lvl w:ilvl="1">
      <w:start w:val="1"/>
      <w:numFmt w:val="lowerLetter"/>
      <w:isLgl w:val="false"/>
      <w:suff w:val="tab"/>
      <w:lvlText w:val="%2)"/>
      <w:lvlJc w:val="left"/>
      <w:pPr>
        <w:pStyle w:val="825"/>
        <w:ind w:left="840" w:hanging="420"/>
      </w:pPr>
    </w:lvl>
    <w:lvl w:ilvl="2">
      <w:start w:val="1"/>
      <w:numFmt w:val="lowerRoman"/>
      <w:isLgl w:val="false"/>
      <w:suff w:val="tab"/>
      <w:lvlText w:val="%3."/>
      <w:lvlJc w:val="right"/>
      <w:pPr>
        <w:pStyle w:val="825"/>
        <w:ind w:left="1260" w:hanging="420"/>
      </w:pPr>
    </w:lvl>
    <w:lvl w:ilvl="3">
      <w:start w:val="1"/>
      <w:numFmt w:val="decimal"/>
      <w:isLgl w:val="false"/>
      <w:suff w:val="tab"/>
      <w:lvlText w:val="%4."/>
      <w:lvlJc w:val="left"/>
      <w:pPr>
        <w:pStyle w:val="825"/>
        <w:ind w:left="1680" w:hanging="420"/>
      </w:pPr>
    </w:lvl>
    <w:lvl w:ilvl="4">
      <w:start w:val="1"/>
      <w:numFmt w:val="lowerLetter"/>
      <w:isLgl w:val="false"/>
      <w:suff w:val="tab"/>
      <w:lvlText w:val="%5)"/>
      <w:lvlJc w:val="left"/>
      <w:pPr>
        <w:pStyle w:val="825"/>
        <w:ind w:left="2100" w:hanging="420"/>
      </w:pPr>
    </w:lvl>
    <w:lvl w:ilvl="5">
      <w:start w:val="1"/>
      <w:numFmt w:val="lowerRoman"/>
      <w:isLgl w:val="false"/>
      <w:suff w:val="tab"/>
      <w:lvlText w:val="%6."/>
      <w:lvlJc w:val="right"/>
      <w:pPr>
        <w:pStyle w:val="825"/>
        <w:ind w:left="2520" w:hanging="420"/>
      </w:pPr>
    </w:lvl>
    <w:lvl w:ilvl="6">
      <w:start w:val="1"/>
      <w:numFmt w:val="decimal"/>
      <w:isLgl w:val="false"/>
      <w:suff w:val="tab"/>
      <w:lvlText w:val="%7."/>
      <w:lvlJc w:val="left"/>
      <w:pPr>
        <w:pStyle w:val="825"/>
        <w:ind w:left="2940" w:hanging="420"/>
      </w:pPr>
    </w:lvl>
    <w:lvl w:ilvl="7">
      <w:start w:val="1"/>
      <w:numFmt w:val="lowerLetter"/>
      <w:isLgl w:val="false"/>
      <w:suff w:val="tab"/>
      <w:lvlText w:val="%8)"/>
      <w:lvlJc w:val="left"/>
      <w:pPr>
        <w:pStyle w:val="825"/>
        <w:ind w:left="3360" w:hanging="420"/>
      </w:pPr>
    </w:lvl>
    <w:lvl w:ilvl="8">
      <w:start w:val="1"/>
      <w:numFmt w:val="lowerRoman"/>
      <w:isLgl w:val="false"/>
      <w:suff w:val="tab"/>
      <w:lvlText w:val="%9."/>
      <w:lvlJc w:val="right"/>
      <w:pPr>
        <w:pStyle w:val="825"/>
        <w:ind w:left="3780" w:hanging="420"/>
      </w:pPr>
    </w:lvl>
  </w:abstractNum>
  <w:abstractNum w:abstractNumId="8">
    <w:multiLevelType w:val="hybridMultilevel"/>
    <w:lvl w:ilvl="0">
      <w:start w:val="1"/>
      <w:numFmt w:val="decimal"/>
      <w:pStyle w:val="1037"/>
      <w:isLgl w:val="false"/>
      <w:suff w:val="tab"/>
      <w:lvlText w:val="%1"/>
      <w:lvlJc w:val="left"/>
      <w:pPr>
        <w:pStyle w:val="825"/>
        <w:ind w:left="680" w:hanging="680"/>
      </w:pPr>
      <w:rPr>
        <w:rFonts w:hint="eastAsia" w:ascii="宋体" w:hAnsi="宋体" w:eastAsia="宋体"/>
      </w:rPr>
    </w:lvl>
    <w:lvl w:ilvl="1">
      <w:start w:val="1"/>
      <w:numFmt w:val="decimal"/>
      <w:pStyle w:val="1038"/>
      <w:isLgl w:val="false"/>
      <w:suff w:val="tab"/>
      <w:lvlText w:val="%1.%2"/>
      <w:lvlJc w:val="left"/>
      <w:pPr>
        <w:pStyle w:val="825"/>
        <w:ind w:left="851" w:hanging="851"/>
      </w:pPr>
      <w:rPr>
        <w:rFonts w:hint="eastAsia" w:ascii="宋体" w:hAnsi="宋体" w:eastAsia="宋体"/>
        <w:color w:val="000000"/>
      </w:rPr>
    </w:lvl>
    <w:lvl w:ilvl="2">
      <w:start w:val="1"/>
      <w:numFmt w:val="decimal"/>
      <w:pStyle w:val="1039"/>
      <w:isLgl w:val="false"/>
      <w:suff w:val="tab"/>
      <w:lvlText w:val="%1.%2.%3"/>
      <w:lvlJc w:val="left"/>
      <w:pPr>
        <w:pStyle w:val="825"/>
        <w:ind w:left="851" w:hanging="851"/>
      </w:pPr>
      <w:rPr>
        <w:rFonts w:hint="eastAsia"/>
      </w:rPr>
    </w:lvl>
    <w:lvl w:ilvl="3">
      <w:start w:val="1"/>
      <w:numFmt w:val="decimal"/>
      <w:isLgl w:val="false"/>
      <w:suff w:val="tab"/>
      <w:lvlText w:val="%1.%2.%3.%4"/>
      <w:lvlJc w:val="left"/>
      <w:pPr>
        <w:pStyle w:val="825"/>
        <w:ind w:left="680" w:hanging="680"/>
      </w:pPr>
      <w:rPr>
        <w:rFonts w:hint="eastAsia"/>
      </w:rPr>
    </w:lvl>
    <w:lvl w:ilvl="4">
      <w:start w:val="1"/>
      <w:numFmt w:val="decimal"/>
      <w:isLgl w:val="false"/>
      <w:suff w:val="tab"/>
      <w:lvlText w:val="%1.%2.%3.%4.%5"/>
      <w:lvlJc w:val="left"/>
      <w:pPr>
        <w:pStyle w:val="825"/>
        <w:ind w:left="680" w:hanging="680"/>
      </w:pPr>
      <w:rPr>
        <w:rFonts w:hint="eastAsia"/>
      </w:rPr>
    </w:lvl>
    <w:lvl w:ilvl="5">
      <w:start w:val="1"/>
      <w:numFmt w:val="decimal"/>
      <w:isLgl w:val="false"/>
      <w:suff w:val="tab"/>
      <w:lvlText w:val="%1.%2.%3.%4.%5.%6"/>
      <w:lvlJc w:val="left"/>
      <w:pPr>
        <w:pStyle w:val="825"/>
        <w:ind w:left="680" w:hanging="680"/>
      </w:pPr>
      <w:rPr>
        <w:rFonts w:hint="eastAsia"/>
      </w:rPr>
    </w:lvl>
    <w:lvl w:ilvl="6">
      <w:start w:val="1"/>
      <w:numFmt w:val="decimal"/>
      <w:isLgl w:val="false"/>
      <w:suff w:val="tab"/>
      <w:lvlText w:val="%1.%2.%3.%4.%5.%6.%7"/>
      <w:lvlJc w:val="left"/>
      <w:pPr>
        <w:pStyle w:val="825"/>
        <w:ind w:left="680" w:hanging="680"/>
      </w:pPr>
      <w:rPr>
        <w:rFonts w:hint="eastAsia"/>
      </w:rPr>
    </w:lvl>
    <w:lvl w:ilvl="7">
      <w:start w:val="1"/>
      <w:numFmt w:val="decimal"/>
      <w:isLgl w:val="false"/>
      <w:suff w:val="tab"/>
      <w:lvlText w:val="%1.%2.%3.%4.%5.%6.%7.%8"/>
      <w:lvlJc w:val="left"/>
      <w:pPr>
        <w:pStyle w:val="825"/>
        <w:ind w:left="680" w:hanging="680"/>
      </w:pPr>
      <w:rPr>
        <w:rFonts w:hint="eastAsia"/>
      </w:rPr>
    </w:lvl>
    <w:lvl w:ilvl="8">
      <w:start w:val="1"/>
      <w:numFmt w:val="decimal"/>
      <w:isLgl w:val="false"/>
      <w:suff w:val="tab"/>
      <w:lvlText w:val="%1.%2.%3.%4.%5.%6.%7.%8.%9"/>
      <w:lvlJc w:val="left"/>
      <w:pPr>
        <w:pStyle w:val="825"/>
        <w:ind w:left="680" w:hanging="680"/>
      </w:pPr>
      <w:rPr>
        <w:rFonts w:hint="eastAsia"/>
      </w:rPr>
    </w:lvl>
  </w:abstractNum>
  <w:abstractNum w:abstractNumId="9">
    <w:multiLevelType w:val="hybridMultilevel"/>
    <w:lvl w:ilvl="0">
      <w:start w:val="1"/>
      <w:numFmt w:val="decimal"/>
      <w:isLgl w:val="false"/>
      <w:suff w:val="tab"/>
      <w:lvlText w:val="%1"/>
      <w:lvlJc w:val="left"/>
      <w:pPr>
        <w:pStyle w:val="825"/>
        <w:ind w:left="900" w:hanging="900"/>
        <w:tabs>
          <w:tab w:val="num" w:pos="900" w:leader="none"/>
        </w:tabs>
      </w:pPr>
      <w:rPr>
        <w:rFonts w:hint="eastAsia"/>
      </w:rPr>
    </w:lvl>
    <w:lvl w:ilvl="1">
      <w:start w:val="1"/>
      <w:numFmt w:val="decimal"/>
      <w:isLgl w:val="false"/>
      <w:suff w:val="tab"/>
      <w:lvlText w:val="%1.%2"/>
      <w:lvlJc w:val="left"/>
      <w:pPr>
        <w:pStyle w:val="82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25"/>
        <w:ind w:left="1980" w:hanging="900"/>
        <w:tabs>
          <w:tab w:val="num" w:pos="1980" w:leader="none"/>
        </w:tabs>
      </w:pPr>
      <w:rPr>
        <w:rFonts w:hint="eastAsia"/>
      </w:rPr>
    </w:lvl>
    <w:lvl w:ilvl="3">
      <w:start w:val="1"/>
      <w:numFmt w:val="decimal"/>
      <w:isLgl w:val="false"/>
      <w:suff w:val="tab"/>
      <w:lvlText w:val="%1.%2.%3.%4"/>
      <w:lvlJc w:val="left"/>
      <w:pPr>
        <w:pStyle w:val="825"/>
        <w:ind w:left="900" w:hanging="900"/>
        <w:tabs>
          <w:tab w:val="num" w:pos="900" w:leader="none"/>
        </w:tabs>
      </w:pPr>
      <w:rPr>
        <w:rFonts w:hint="eastAsia"/>
      </w:rPr>
    </w:lvl>
    <w:lvl w:ilvl="4">
      <w:start w:val="1"/>
      <w:numFmt w:val="decimal"/>
      <w:isLgl w:val="false"/>
      <w:suff w:val="tab"/>
      <w:lvlText w:val="%1.%2.%3.%4.%5"/>
      <w:lvlJc w:val="left"/>
      <w:pPr>
        <w:pStyle w:val="825"/>
        <w:ind w:left="900" w:hanging="900"/>
        <w:tabs>
          <w:tab w:val="num" w:pos="900" w:leader="none"/>
        </w:tabs>
      </w:pPr>
      <w:rPr>
        <w:rFonts w:hint="eastAsia"/>
      </w:rPr>
    </w:lvl>
    <w:lvl w:ilvl="5">
      <w:start w:val="1"/>
      <w:numFmt w:val="decimal"/>
      <w:isLgl w:val="false"/>
      <w:suff w:val="tab"/>
      <w:lvlText w:val="%1.%2.%3.%4.%5.%6"/>
      <w:lvlJc w:val="left"/>
      <w:pPr>
        <w:pStyle w:val="825"/>
        <w:ind w:left="900" w:hanging="900"/>
        <w:tabs>
          <w:tab w:val="num" w:pos="900" w:leader="none"/>
        </w:tabs>
      </w:pPr>
      <w:rPr>
        <w:rFonts w:hint="eastAsia"/>
      </w:rPr>
    </w:lvl>
    <w:lvl w:ilvl="6">
      <w:start w:val="1"/>
      <w:numFmt w:val="decimal"/>
      <w:isLgl w:val="false"/>
      <w:suff w:val="tab"/>
      <w:lvlText w:val="%1.%2.%3.%4.%5.%6.%7"/>
      <w:lvlJc w:val="left"/>
      <w:pPr>
        <w:pStyle w:val="825"/>
        <w:ind w:left="900" w:hanging="900"/>
        <w:tabs>
          <w:tab w:val="num" w:pos="900" w:leader="none"/>
        </w:tabs>
      </w:pPr>
      <w:rPr>
        <w:rFonts w:hint="eastAsia"/>
      </w:rPr>
    </w:lvl>
    <w:lvl w:ilvl="7">
      <w:start w:val="1"/>
      <w:numFmt w:val="decimal"/>
      <w:isLgl w:val="false"/>
      <w:suff w:val="tab"/>
      <w:lvlText w:val="%1.%2.%3.%4.%5.%6.%7.%8"/>
      <w:lvlJc w:val="left"/>
      <w:pPr>
        <w:pStyle w:val="825"/>
        <w:ind w:left="900" w:hanging="900"/>
        <w:tabs>
          <w:tab w:val="num" w:pos="900" w:leader="none"/>
        </w:tabs>
      </w:pPr>
      <w:rPr>
        <w:rFonts w:hint="eastAsia"/>
      </w:rPr>
    </w:lvl>
    <w:lvl w:ilvl="8">
      <w:start w:val="1"/>
      <w:numFmt w:val="decimal"/>
      <w:isLgl w:val="false"/>
      <w:suff w:val="tab"/>
      <w:lvlText w:val="%1.%2.%3.%4.%5.%6.%7.%8.%9"/>
      <w:lvlJc w:val="left"/>
      <w:pPr>
        <w:pStyle w:val="825"/>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25"/>
        <w:ind w:left="900" w:hanging="900"/>
        <w:tabs>
          <w:tab w:val="num" w:pos="900" w:leader="none"/>
        </w:tabs>
      </w:pPr>
      <w:rPr>
        <w:rFonts w:hint="eastAsia"/>
      </w:rPr>
    </w:lvl>
    <w:lvl w:ilvl="1">
      <w:start w:val="1"/>
      <w:numFmt w:val="decimal"/>
      <w:isLgl w:val="false"/>
      <w:suff w:val="tab"/>
      <w:lvlText w:val="%1.%2"/>
      <w:lvlJc w:val="left"/>
      <w:pPr>
        <w:pStyle w:val="82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25"/>
        <w:ind w:left="1980" w:hanging="900"/>
        <w:tabs>
          <w:tab w:val="num" w:pos="1980" w:leader="none"/>
        </w:tabs>
      </w:pPr>
      <w:rPr>
        <w:rFonts w:hint="eastAsia"/>
      </w:rPr>
    </w:lvl>
    <w:lvl w:ilvl="3">
      <w:start w:val="1"/>
      <w:numFmt w:val="decimal"/>
      <w:isLgl w:val="false"/>
      <w:suff w:val="tab"/>
      <w:lvlText w:val="%1.%2.%3.%4"/>
      <w:lvlJc w:val="left"/>
      <w:pPr>
        <w:pStyle w:val="825"/>
        <w:ind w:left="900" w:hanging="900"/>
        <w:tabs>
          <w:tab w:val="num" w:pos="900" w:leader="none"/>
        </w:tabs>
      </w:pPr>
      <w:rPr>
        <w:rFonts w:hint="eastAsia"/>
      </w:rPr>
    </w:lvl>
    <w:lvl w:ilvl="4">
      <w:start w:val="1"/>
      <w:numFmt w:val="decimal"/>
      <w:isLgl w:val="false"/>
      <w:suff w:val="tab"/>
      <w:lvlText w:val="%1.%2.%3.%4.%5"/>
      <w:lvlJc w:val="left"/>
      <w:pPr>
        <w:pStyle w:val="825"/>
        <w:ind w:left="900" w:hanging="900"/>
        <w:tabs>
          <w:tab w:val="num" w:pos="900" w:leader="none"/>
        </w:tabs>
      </w:pPr>
      <w:rPr>
        <w:rFonts w:hint="eastAsia"/>
      </w:rPr>
    </w:lvl>
    <w:lvl w:ilvl="5">
      <w:start w:val="1"/>
      <w:numFmt w:val="decimal"/>
      <w:isLgl w:val="false"/>
      <w:suff w:val="tab"/>
      <w:lvlText w:val="%1.%2.%3.%4.%5.%6"/>
      <w:lvlJc w:val="left"/>
      <w:pPr>
        <w:pStyle w:val="825"/>
        <w:ind w:left="900" w:hanging="900"/>
        <w:tabs>
          <w:tab w:val="num" w:pos="900" w:leader="none"/>
        </w:tabs>
      </w:pPr>
      <w:rPr>
        <w:rFonts w:hint="eastAsia"/>
      </w:rPr>
    </w:lvl>
    <w:lvl w:ilvl="6">
      <w:start w:val="1"/>
      <w:numFmt w:val="decimal"/>
      <w:isLgl w:val="false"/>
      <w:suff w:val="tab"/>
      <w:lvlText w:val="%1.%2.%3.%4.%5.%6.%7"/>
      <w:lvlJc w:val="left"/>
      <w:pPr>
        <w:pStyle w:val="825"/>
        <w:ind w:left="900" w:hanging="900"/>
        <w:tabs>
          <w:tab w:val="num" w:pos="900" w:leader="none"/>
        </w:tabs>
      </w:pPr>
      <w:rPr>
        <w:rFonts w:hint="eastAsia"/>
      </w:rPr>
    </w:lvl>
    <w:lvl w:ilvl="7">
      <w:start w:val="1"/>
      <w:numFmt w:val="decimal"/>
      <w:isLgl w:val="false"/>
      <w:suff w:val="tab"/>
      <w:lvlText w:val="%1.%2.%3.%4.%5.%6.%7.%8"/>
      <w:lvlJc w:val="left"/>
      <w:pPr>
        <w:pStyle w:val="825"/>
        <w:ind w:left="900" w:hanging="900"/>
        <w:tabs>
          <w:tab w:val="num" w:pos="900" w:leader="none"/>
        </w:tabs>
      </w:pPr>
      <w:rPr>
        <w:rFonts w:hint="eastAsia"/>
      </w:rPr>
    </w:lvl>
    <w:lvl w:ilvl="8">
      <w:start w:val="1"/>
      <w:numFmt w:val="decimal"/>
      <w:isLgl w:val="false"/>
      <w:suff w:val="tab"/>
      <w:lvlText w:val="%1.%2.%3.%4.%5.%6.%7.%8.%9"/>
      <w:lvlJc w:val="left"/>
      <w:pPr>
        <w:pStyle w:val="825"/>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25"/>
        <w:ind w:left="900" w:hanging="900"/>
        <w:tabs>
          <w:tab w:val="num" w:pos="900" w:leader="none"/>
        </w:tabs>
      </w:pPr>
      <w:rPr>
        <w:rFonts w:hint="eastAsia"/>
      </w:rPr>
    </w:lvl>
    <w:lvl w:ilvl="1">
      <w:start w:val="1"/>
      <w:numFmt w:val="decimal"/>
      <w:isLgl w:val="false"/>
      <w:suff w:val="tab"/>
      <w:lvlText w:val="%1.%2"/>
      <w:lvlJc w:val="left"/>
      <w:pPr>
        <w:pStyle w:val="82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25"/>
        <w:ind w:left="1980" w:hanging="900"/>
        <w:tabs>
          <w:tab w:val="num" w:pos="1980" w:leader="none"/>
        </w:tabs>
      </w:pPr>
      <w:rPr>
        <w:rFonts w:hint="eastAsia"/>
      </w:rPr>
    </w:lvl>
    <w:lvl w:ilvl="3">
      <w:start w:val="1"/>
      <w:numFmt w:val="decimal"/>
      <w:isLgl w:val="false"/>
      <w:suff w:val="tab"/>
      <w:lvlText w:val="%1.%2.%3.%4"/>
      <w:lvlJc w:val="left"/>
      <w:pPr>
        <w:pStyle w:val="825"/>
        <w:ind w:left="900" w:hanging="900"/>
        <w:tabs>
          <w:tab w:val="num" w:pos="900" w:leader="none"/>
        </w:tabs>
      </w:pPr>
      <w:rPr>
        <w:rFonts w:hint="eastAsia"/>
      </w:rPr>
    </w:lvl>
    <w:lvl w:ilvl="4">
      <w:start w:val="1"/>
      <w:numFmt w:val="decimal"/>
      <w:isLgl w:val="false"/>
      <w:suff w:val="tab"/>
      <w:lvlText w:val="%1.%2.%3.%4.%5"/>
      <w:lvlJc w:val="left"/>
      <w:pPr>
        <w:pStyle w:val="825"/>
        <w:ind w:left="900" w:hanging="900"/>
        <w:tabs>
          <w:tab w:val="num" w:pos="900" w:leader="none"/>
        </w:tabs>
      </w:pPr>
      <w:rPr>
        <w:rFonts w:hint="eastAsia"/>
      </w:rPr>
    </w:lvl>
    <w:lvl w:ilvl="5">
      <w:start w:val="1"/>
      <w:numFmt w:val="decimal"/>
      <w:isLgl w:val="false"/>
      <w:suff w:val="tab"/>
      <w:lvlText w:val="%1.%2.%3.%4.%5.%6"/>
      <w:lvlJc w:val="left"/>
      <w:pPr>
        <w:pStyle w:val="825"/>
        <w:ind w:left="900" w:hanging="900"/>
        <w:tabs>
          <w:tab w:val="num" w:pos="900" w:leader="none"/>
        </w:tabs>
      </w:pPr>
      <w:rPr>
        <w:rFonts w:hint="eastAsia"/>
      </w:rPr>
    </w:lvl>
    <w:lvl w:ilvl="6">
      <w:start w:val="1"/>
      <w:numFmt w:val="decimal"/>
      <w:isLgl w:val="false"/>
      <w:suff w:val="tab"/>
      <w:lvlText w:val="%1.%2.%3.%4.%5.%6.%7"/>
      <w:lvlJc w:val="left"/>
      <w:pPr>
        <w:pStyle w:val="825"/>
        <w:ind w:left="900" w:hanging="900"/>
        <w:tabs>
          <w:tab w:val="num" w:pos="900" w:leader="none"/>
        </w:tabs>
      </w:pPr>
      <w:rPr>
        <w:rFonts w:hint="eastAsia"/>
      </w:rPr>
    </w:lvl>
    <w:lvl w:ilvl="7">
      <w:start w:val="1"/>
      <w:numFmt w:val="decimal"/>
      <w:isLgl w:val="false"/>
      <w:suff w:val="tab"/>
      <w:lvlText w:val="%1.%2.%3.%4.%5.%6.%7.%8"/>
      <w:lvlJc w:val="left"/>
      <w:pPr>
        <w:pStyle w:val="825"/>
        <w:ind w:left="900" w:hanging="900"/>
        <w:tabs>
          <w:tab w:val="num" w:pos="900" w:leader="none"/>
        </w:tabs>
      </w:pPr>
      <w:rPr>
        <w:rFonts w:hint="eastAsia"/>
      </w:rPr>
    </w:lvl>
    <w:lvl w:ilvl="8">
      <w:start w:val="1"/>
      <w:numFmt w:val="decimal"/>
      <w:isLgl w:val="false"/>
      <w:suff w:val="tab"/>
      <w:lvlText w:val="%1.%2.%3.%4.%5.%6.%7.%8.%9"/>
      <w:lvlJc w:val="left"/>
      <w:pPr>
        <w:pStyle w:val="825"/>
        <w:ind w:left="900" w:hanging="900"/>
        <w:tabs>
          <w:tab w:val="num" w:pos="900" w:leader="none"/>
        </w:tabs>
      </w:pPr>
      <w:rPr>
        <w:rFonts w:hint="eastAsia"/>
      </w:rPr>
    </w:lvl>
  </w:abstractNum>
  <w:abstractNum w:abstractNumId="12">
    <w:multiLevelType w:val="hybridMultilevel"/>
    <w:lvl w:ilvl="0">
      <w:start w:val="1"/>
      <w:numFmt w:val="decimal"/>
      <w:isLgl w:val="false"/>
      <w:suff w:val="nothing"/>
      <w:lvlText w:val="%1、"/>
      <w:lvlJc w:val="left"/>
      <w:pPr>
        <w:pStyle w:val="8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8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825"/>
        <w:ind w:left="900" w:hanging="900"/>
        <w:tabs>
          <w:tab w:val="num" w:pos="900" w:leader="none"/>
        </w:tabs>
      </w:pPr>
      <w:rPr>
        <w:rFonts w:hint="eastAsia"/>
      </w:rPr>
    </w:lvl>
    <w:lvl w:ilvl="1">
      <w:start w:val="1"/>
      <w:numFmt w:val="decimal"/>
      <w:isLgl w:val="false"/>
      <w:suff w:val="tab"/>
      <w:lvlText w:val="%1.%2"/>
      <w:lvlJc w:val="left"/>
      <w:pPr>
        <w:pStyle w:val="82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25"/>
        <w:ind w:left="1980" w:hanging="900"/>
        <w:tabs>
          <w:tab w:val="num" w:pos="1980" w:leader="none"/>
        </w:tabs>
      </w:pPr>
      <w:rPr>
        <w:rFonts w:hint="eastAsia"/>
      </w:rPr>
    </w:lvl>
    <w:lvl w:ilvl="3">
      <w:start w:val="1"/>
      <w:numFmt w:val="decimal"/>
      <w:isLgl w:val="false"/>
      <w:suff w:val="tab"/>
      <w:lvlText w:val="%1.%2.%3.%4"/>
      <w:lvlJc w:val="left"/>
      <w:pPr>
        <w:pStyle w:val="825"/>
        <w:ind w:left="900" w:hanging="900"/>
        <w:tabs>
          <w:tab w:val="num" w:pos="900" w:leader="none"/>
        </w:tabs>
      </w:pPr>
      <w:rPr>
        <w:rFonts w:hint="eastAsia"/>
      </w:rPr>
    </w:lvl>
    <w:lvl w:ilvl="4">
      <w:start w:val="1"/>
      <w:numFmt w:val="decimal"/>
      <w:isLgl w:val="false"/>
      <w:suff w:val="tab"/>
      <w:lvlText w:val="%1.%2.%3.%4.%5"/>
      <w:lvlJc w:val="left"/>
      <w:pPr>
        <w:pStyle w:val="825"/>
        <w:ind w:left="900" w:hanging="900"/>
        <w:tabs>
          <w:tab w:val="num" w:pos="900" w:leader="none"/>
        </w:tabs>
      </w:pPr>
      <w:rPr>
        <w:rFonts w:hint="eastAsia"/>
      </w:rPr>
    </w:lvl>
    <w:lvl w:ilvl="5">
      <w:start w:val="1"/>
      <w:numFmt w:val="decimal"/>
      <w:isLgl w:val="false"/>
      <w:suff w:val="tab"/>
      <w:lvlText w:val="%1.%2.%3.%4.%5.%6"/>
      <w:lvlJc w:val="left"/>
      <w:pPr>
        <w:pStyle w:val="825"/>
        <w:ind w:left="900" w:hanging="900"/>
        <w:tabs>
          <w:tab w:val="num" w:pos="900" w:leader="none"/>
        </w:tabs>
      </w:pPr>
      <w:rPr>
        <w:rFonts w:hint="eastAsia"/>
      </w:rPr>
    </w:lvl>
    <w:lvl w:ilvl="6">
      <w:start w:val="1"/>
      <w:numFmt w:val="decimal"/>
      <w:isLgl w:val="false"/>
      <w:suff w:val="tab"/>
      <w:lvlText w:val="%1.%2.%3.%4.%5.%6.%7"/>
      <w:lvlJc w:val="left"/>
      <w:pPr>
        <w:pStyle w:val="825"/>
        <w:ind w:left="900" w:hanging="900"/>
        <w:tabs>
          <w:tab w:val="num" w:pos="900" w:leader="none"/>
        </w:tabs>
      </w:pPr>
      <w:rPr>
        <w:rFonts w:hint="eastAsia"/>
      </w:rPr>
    </w:lvl>
    <w:lvl w:ilvl="7">
      <w:start w:val="1"/>
      <w:numFmt w:val="decimal"/>
      <w:isLgl w:val="false"/>
      <w:suff w:val="tab"/>
      <w:lvlText w:val="%1.%2.%3.%4.%5.%6.%7.%8"/>
      <w:lvlJc w:val="left"/>
      <w:pPr>
        <w:pStyle w:val="825"/>
        <w:ind w:left="900" w:hanging="900"/>
        <w:tabs>
          <w:tab w:val="num" w:pos="900" w:leader="none"/>
        </w:tabs>
      </w:pPr>
      <w:rPr>
        <w:rFonts w:hint="eastAsia"/>
      </w:rPr>
    </w:lvl>
    <w:lvl w:ilvl="8">
      <w:start w:val="1"/>
      <w:numFmt w:val="decimal"/>
      <w:isLgl w:val="false"/>
      <w:suff w:val="tab"/>
      <w:lvlText w:val="%1.%2.%3.%4.%5.%6.%7.%8.%9"/>
      <w:lvlJc w:val="left"/>
      <w:pPr>
        <w:pStyle w:val="825"/>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4"/>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5"/>
    <w:next w:val="8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5"/>
    <w:next w:val="82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5"/>
    <w:next w:val="8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5"/>
    <w:next w:val="8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5"/>
    <w:next w:val="8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5"/>
    <w:next w:val="8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5"/>
    <w:next w:val="8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5"/>
    <w:next w:val="8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5"/>
    <w:next w:val="8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2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5"/>
    <w:next w:val="82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5"/>
    <w:next w:val="82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5"/>
    <w:next w:val="825"/>
    <w:link w:val="38"/>
    <w:uiPriority w:val="29"/>
    <w:qFormat/>
    <w:pPr>
      <w:ind w:left="720" w:right="720"/>
    </w:pPr>
    <w:rPr>
      <w:i/>
    </w:rPr>
  </w:style>
  <w:style w:type="character" w:styleId="38">
    <w:name w:val="Quote Char"/>
    <w:link w:val="37"/>
    <w:uiPriority w:val="29"/>
    <w:rPr>
      <w:i/>
    </w:rPr>
  </w:style>
  <w:style w:type="paragraph" w:styleId="39">
    <w:name w:val="Intense Quote"/>
    <w:basedOn w:val="825"/>
    <w:next w:val="8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5"/>
    <w:next w:val="82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5"/>
    <w:next w:val="825"/>
    <w:uiPriority w:val="39"/>
    <w:unhideWhenUsed/>
    <w:pPr>
      <w:ind w:left="0" w:right="0" w:firstLine="0"/>
      <w:spacing w:after="57"/>
    </w:pPr>
  </w:style>
  <w:style w:type="paragraph" w:styleId="181">
    <w:name w:val="toc 2"/>
    <w:basedOn w:val="825"/>
    <w:next w:val="825"/>
    <w:uiPriority w:val="39"/>
    <w:unhideWhenUsed/>
    <w:pPr>
      <w:ind w:left="283" w:right="0" w:firstLine="0"/>
      <w:spacing w:after="57"/>
    </w:pPr>
  </w:style>
  <w:style w:type="paragraph" w:styleId="182">
    <w:name w:val="toc 3"/>
    <w:basedOn w:val="825"/>
    <w:next w:val="825"/>
    <w:uiPriority w:val="39"/>
    <w:unhideWhenUsed/>
    <w:pPr>
      <w:ind w:left="567" w:right="0" w:firstLine="0"/>
      <w:spacing w:after="57"/>
    </w:pPr>
  </w:style>
  <w:style w:type="paragraph" w:styleId="183">
    <w:name w:val="toc 4"/>
    <w:basedOn w:val="825"/>
    <w:next w:val="825"/>
    <w:uiPriority w:val="39"/>
    <w:unhideWhenUsed/>
    <w:pPr>
      <w:ind w:left="850" w:right="0" w:firstLine="0"/>
      <w:spacing w:after="57"/>
    </w:pPr>
  </w:style>
  <w:style w:type="paragraph" w:styleId="184">
    <w:name w:val="toc 5"/>
    <w:basedOn w:val="825"/>
    <w:next w:val="825"/>
    <w:uiPriority w:val="39"/>
    <w:unhideWhenUsed/>
    <w:pPr>
      <w:ind w:left="1134" w:right="0" w:firstLine="0"/>
      <w:spacing w:after="57"/>
    </w:pPr>
  </w:style>
  <w:style w:type="paragraph" w:styleId="185">
    <w:name w:val="toc 6"/>
    <w:basedOn w:val="825"/>
    <w:next w:val="825"/>
    <w:uiPriority w:val="39"/>
    <w:unhideWhenUsed/>
    <w:pPr>
      <w:ind w:left="1417" w:right="0" w:firstLine="0"/>
      <w:spacing w:after="57"/>
    </w:pPr>
  </w:style>
  <w:style w:type="paragraph" w:styleId="186">
    <w:name w:val="toc 7"/>
    <w:basedOn w:val="825"/>
    <w:next w:val="825"/>
    <w:uiPriority w:val="39"/>
    <w:unhideWhenUsed/>
    <w:pPr>
      <w:ind w:left="1701" w:right="0" w:firstLine="0"/>
      <w:spacing w:after="57"/>
    </w:pPr>
  </w:style>
  <w:style w:type="paragraph" w:styleId="187">
    <w:name w:val="toc 8"/>
    <w:basedOn w:val="825"/>
    <w:next w:val="825"/>
    <w:uiPriority w:val="39"/>
    <w:unhideWhenUsed/>
    <w:pPr>
      <w:ind w:left="1984" w:right="0" w:firstLine="0"/>
      <w:spacing w:after="57"/>
    </w:pPr>
  </w:style>
  <w:style w:type="paragraph" w:styleId="188">
    <w:name w:val="toc 9"/>
    <w:basedOn w:val="825"/>
    <w:next w:val="8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5"/>
    <w:next w:val="825"/>
    <w:uiPriority w:val="99"/>
    <w:unhideWhenUsed/>
    <w:pPr>
      <w:spacing w:after="0" w:afterAutospacing="0"/>
    </w:pPr>
  </w:style>
  <w:style w:type="paragraph" w:styleId="825" w:default="1">
    <w:name w:val="Normal"/>
    <w:next w:val="825"/>
    <w:link w:val="825"/>
    <w:qFormat/>
    <w:pPr>
      <w:jc w:val="both"/>
      <w:widowControl w:val="off"/>
    </w:pPr>
    <w:rPr>
      <w:sz w:val="21"/>
      <w:szCs w:val="24"/>
      <w:lang w:val="en-US" w:eastAsia="zh-CN" w:bidi="ar-SA"/>
    </w:rPr>
  </w:style>
  <w:style w:type="paragraph" w:styleId="826">
    <w:name w:val="标题 1"/>
    <w:basedOn w:val="825"/>
    <w:next w:val="825"/>
    <w:link w:val="837"/>
    <w:qFormat/>
    <w:pPr>
      <w:jc w:val="center"/>
      <w:keepLines/>
      <w:keepNext/>
      <w:spacing w:before="240" w:after="120" w:line="300" w:lineRule="auto"/>
      <w:outlineLvl w:val="0"/>
    </w:pPr>
    <w:rPr>
      <w:rFonts w:ascii="宋体"/>
      <w:b/>
      <w:sz w:val="32"/>
      <w:szCs w:val="20"/>
    </w:rPr>
  </w:style>
  <w:style w:type="paragraph" w:styleId="827">
    <w:name w:val="标题 2"/>
    <w:basedOn w:val="825"/>
    <w:next w:val="839"/>
    <w:link w:val="838"/>
    <w:qFormat/>
    <w:pPr>
      <w:jc w:val="center"/>
      <w:keepLines/>
      <w:keepNext/>
      <w:spacing w:before="120" w:line="300" w:lineRule="auto"/>
      <w:outlineLvl w:val="1"/>
    </w:pPr>
    <w:rPr>
      <w:rFonts w:ascii="Arial" w:hAnsi="Arial" w:eastAsia="黑体"/>
      <w:b/>
      <w:sz w:val="30"/>
      <w:szCs w:val="20"/>
    </w:rPr>
  </w:style>
  <w:style w:type="paragraph" w:styleId="828">
    <w:name w:val="标题 3"/>
    <w:basedOn w:val="825"/>
    <w:next w:val="825"/>
    <w:link w:val="841"/>
    <w:qFormat/>
    <w:pPr>
      <w:jc w:val="left"/>
      <w:keepLines/>
      <w:keepNext/>
      <w:spacing w:before="360" w:after="120"/>
      <w:outlineLvl w:val="2"/>
    </w:pPr>
    <w:rPr>
      <w:rFonts w:ascii="宋体"/>
      <w:b/>
      <w:sz w:val="24"/>
      <w:szCs w:val="20"/>
      <w:u w:val="single"/>
    </w:rPr>
  </w:style>
  <w:style w:type="paragraph" w:styleId="829">
    <w:name w:val="标题 4"/>
    <w:basedOn w:val="825"/>
    <w:next w:val="825"/>
    <w:link w:val="842"/>
    <w:qFormat/>
    <w:pPr>
      <w:keepLines/>
      <w:keepNext/>
      <w:spacing w:before="280" w:after="290" w:line="376" w:lineRule="atLeast"/>
      <w:outlineLvl w:val="3"/>
    </w:pPr>
    <w:rPr>
      <w:rFonts w:ascii="Arial" w:hAnsi="Arial" w:eastAsia="黑体"/>
      <w:b/>
      <w:sz w:val="28"/>
      <w:szCs w:val="20"/>
    </w:rPr>
  </w:style>
  <w:style w:type="paragraph" w:styleId="830">
    <w:name w:val="标题 5"/>
    <w:basedOn w:val="825"/>
    <w:next w:val="825"/>
    <w:link w:val="843"/>
    <w:qFormat/>
    <w:pPr>
      <w:keepLines/>
      <w:keepNext/>
      <w:spacing w:before="280" w:after="290" w:line="376" w:lineRule="atLeast"/>
      <w:outlineLvl w:val="4"/>
    </w:pPr>
    <w:rPr>
      <w:b/>
      <w:sz w:val="28"/>
      <w:szCs w:val="20"/>
    </w:rPr>
  </w:style>
  <w:style w:type="paragraph" w:styleId="831">
    <w:name w:val="标题 6"/>
    <w:basedOn w:val="825"/>
    <w:next w:val="825"/>
    <w:link w:val="844"/>
    <w:qFormat/>
    <w:pPr>
      <w:keepLines/>
      <w:keepNext/>
      <w:spacing w:before="240" w:after="64" w:line="320" w:lineRule="atLeast"/>
      <w:outlineLvl w:val="5"/>
    </w:pPr>
    <w:rPr>
      <w:rFonts w:ascii="Arial" w:hAnsi="Arial" w:eastAsia="黑体"/>
      <w:b/>
      <w:sz w:val="24"/>
      <w:szCs w:val="20"/>
    </w:rPr>
  </w:style>
  <w:style w:type="paragraph" w:styleId="832">
    <w:name w:val="标题 7"/>
    <w:basedOn w:val="825"/>
    <w:next w:val="825"/>
    <w:link w:val="845"/>
    <w:qFormat/>
    <w:pPr>
      <w:keepLines/>
      <w:keepNext/>
      <w:spacing w:before="240" w:after="64" w:line="320" w:lineRule="atLeast"/>
      <w:outlineLvl w:val="6"/>
    </w:pPr>
    <w:rPr>
      <w:b/>
      <w:sz w:val="24"/>
      <w:szCs w:val="20"/>
    </w:rPr>
  </w:style>
  <w:style w:type="paragraph" w:styleId="833">
    <w:name w:val="标题 8"/>
    <w:basedOn w:val="825"/>
    <w:next w:val="825"/>
    <w:link w:val="846"/>
    <w:qFormat/>
    <w:pPr>
      <w:keepLines/>
      <w:keepNext/>
      <w:spacing w:before="240" w:after="64" w:line="320" w:lineRule="atLeast"/>
      <w:outlineLvl w:val="7"/>
    </w:pPr>
    <w:rPr>
      <w:rFonts w:ascii="Arial" w:hAnsi="Arial" w:eastAsia="黑体"/>
      <w:sz w:val="24"/>
      <w:szCs w:val="20"/>
    </w:rPr>
  </w:style>
  <w:style w:type="paragraph" w:styleId="834">
    <w:name w:val="标题 9"/>
    <w:basedOn w:val="825"/>
    <w:next w:val="825"/>
    <w:link w:val="847"/>
    <w:qFormat/>
    <w:pPr>
      <w:keepLines/>
      <w:keepNext/>
      <w:spacing w:before="240" w:after="64" w:line="320" w:lineRule="atLeast"/>
      <w:outlineLvl w:val="8"/>
    </w:pPr>
    <w:rPr>
      <w:rFonts w:ascii="Arial" w:hAnsi="Arial" w:eastAsia="黑体"/>
      <w:szCs w:val="20"/>
    </w:rPr>
  </w:style>
  <w:style w:type="character" w:styleId="835">
    <w:name w:val="默认段落字体"/>
    <w:next w:val="835"/>
    <w:link w:val="825"/>
    <w:uiPriority w:val="1"/>
    <w:unhideWhenUsed/>
    <w:qFormat/>
  </w:style>
  <w:style w:type="table" w:styleId="836">
    <w:name w:val="普通表格"/>
    <w:next w:val="836"/>
    <w:link w:val="825"/>
    <w:uiPriority w:val="99"/>
    <w:unhideWhenUsed/>
    <w:qFormat/>
    <w:tblPr/>
  </w:style>
  <w:style w:type="character" w:styleId="837">
    <w:name w:val="标题 1 Char"/>
    <w:basedOn w:val="835"/>
    <w:next w:val="837"/>
    <w:link w:val="826"/>
    <w:qFormat/>
    <w:rPr>
      <w:rFonts w:ascii="宋体"/>
      <w:b/>
      <w:sz w:val="32"/>
    </w:rPr>
  </w:style>
  <w:style w:type="character" w:styleId="838">
    <w:name w:val="标题 2 Char1"/>
    <w:next w:val="838"/>
    <w:link w:val="827"/>
    <w:qFormat/>
    <w:rPr>
      <w:rFonts w:ascii="Arial" w:hAnsi="Arial" w:eastAsia="黑体"/>
      <w:b/>
      <w:sz w:val="30"/>
      <w:lang w:val="en-US" w:eastAsia="zh-CN" w:bidi="ar-SA"/>
    </w:rPr>
  </w:style>
  <w:style w:type="paragraph" w:styleId="839">
    <w:name w:val="正文缩进"/>
    <w:basedOn w:val="825"/>
    <w:next w:val="825"/>
    <w:link w:val="840"/>
    <w:qFormat/>
    <w:pPr>
      <w:ind w:firstLine="420"/>
      <w:jc w:val="left"/>
    </w:pPr>
    <w:rPr>
      <w:rFonts w:ascii="宋体"/>
      <w:sz w:val="24"/>
    </w:rPr>
  </w:style>
  <w:style w:type="character" w:styleId="840">
    <w:name w:val="正文缩进 Char1"/>
    <w:next w:val="840"/>
    <w:link w:val="839"/>
    <w:qFormat/>
    <w:rPr>
      <w:rFonts w:ascii="宋体" w:eastAsia="宋体"/>
      <w:sz w:val="24"/>
      <w:szCs w:val="24"/>
      <w:lang w:val="en-US" w:eastAsia="zh-CN" w:bidi="ar-SA"/>
    </w:rPr>
  </w:style>
  <w:style w:type="character" w:styleId="841">
    <w:name w:val="标题 3 Char1"/>
    <w:next w:val="841"/>
    <w:link w:val="828"/>
    <w:qFormat/>
    <w:rPr>
      <w:rFonts w:ascii="宋体" w:eastAsia="宋体"/>
      <w:b/>
      <w:sz w:val="24"/>
      <w:u w:val="single"/>
      <w:lang w:val="en-US" w:eastAsia="zh-CN" w:bidi="ar-SA"/>
    </w:rPr>
  </w:style>
  <w:style w:type="character" w:styleId="842">
    <w:name w:val="标题 4 Char"/>
    <w:basedOn w:val="835"/>
    <w:next w:val="842"/>
    <w:link w:val="829"/>
    <w:qFormat/>
    <w:rPr>
      <w:rFonts w:ascii="Arial" w:hAnsi="Arial" w:eastAsia="黑体"/>
      <w:b/>
      <w:sz w:val="28"/>
    </w:rPr>
  </w:style>
  <w:style w:type="character" w:styleId="843">
    <w:name w:val="标题 5 Char"/>
    <w:basedOn w:val="835"/>
    <w:next w:val="843"/>
    <w:link w:val="830"/>
    <w:qFormat/>
    <w:rPr>
      <w:b/>
      <w:sz w:val="28"/>
    </w:rPr>
  </w:style>
  <w:style w:type="character" w:styleId="844">
    <w:name w:val="标题 6 Char"/>
    <w:basedOn w:val="835"/>
    <w:next w:val="844"/>
    <w:link w:val="831"/>
    <w:qFormat/>
    <w:rPr>
      <w:rFonts w:ascii="Arial" w:hAnsi="Arial" w:eastAsia="黑体"/>
      <w:b/>
      <w:sz w:val="24"/>
    </w:rPr>
  </w:style>
  <w:style w:type="character" w:styleId="845">
    <w:name w:val="标题 7 Char"/>
    <w:basedOn w:val="835"/>
    <w:next w:val="845"/>
    <w:link w:val="832"/>
    <w:qFormat/>
    <w:rPr>
      <w:b/>
      <w:sz w:val="24"/>
    </w:rPr>
  </w:style>
  <w:style w:type="character" w:styleId="846">
    <w:name w:val="标题 8 Char"/>
    <w:basedOn w:val="835"/>
    <w:next w:val="846"/>
    <w:link w:val="833"/>
    <w:qFormat/>
    <w:rPr>
      <w:rFonts w:ascii="Arial" w:hAnsi="Arial" w:eastAsia="黑体"/>
      <w:sz w:val="24"/>
    </w:rPr>
  </w:style>
  <w:style w:type="character" w:styleId="847">
    <w:name w:val="标题 9 Char"/>
    <w:basedOn w:val="835"/>
    <w:next w:val="847"/>
    <w:link w:val="834"/>
    <w:qFormat/>
    <w:rPr>
      <w:rFonts w:ascii="Arial" w:hAnsi="Arial" w:eastAsia="黑体"/>
      <w:sz w:val="21"/>
    </w:rPr>
  </w:style>
  <w:style w:type="paragraph" w:styleId="848">
    <w:name w:val="目录 7"/>
    <w:basedOn w:val="825"/>
    <w:next w:val="825"/>
    <w:link w:val="825"/>
    <w:qFormat/>
    <w:pPr>
      <w:ind w:left="2520"/>
    </w:pPr>
  </w:style>
  <w:style w:type="paragraph" w:styleId="849">
    <w:name w:val="题注"/>
    <w:basedOn w:val="825"/>
    <w:next w:val="825"/>
    <w:link w:val="825"/>
    <w:qFormat/>
    <w:pPr>
      <w:spacing w:line="480" w:lineRule="auto"/>
    </w:pPr>
    <w:rPr>
      <w:rFonts w:ascii="华文中宋" w:hAnsi="华文中宋" w:eastAsia="华文中宋"/>
      <w:sz w:val="36"/>
      <w:szCs w:val="20"/>
    </w:rPr>
  </w:style>
  <w:style w:type="paragraph" w:styleId="850">
    <w:name w:val="文档结构图"/>
    <w:basedOn w:val="825"/>
    <w:next w:val="825"/>
    <w:link w:val="851"/>
    <w:qFormat/>
    <w:pPr>
      <w:shd w:val="clear" w:color="auto" w:fill="000080"/>
    </w:pPr>
  </w:style>
  <w:style w:type="character" w:styleId="851">
    <w:name w:val="文档结构图 Char"/>
    <w:basedOn w:val="835"/>
    <w:next w:val="851"/>
    <w:link w:val="850"/>
    <w:qFormat/>
    <w:rPr>
      <w:sz w:val="21"/>
      <w:szCs w:val="24"/>
      <w:shd w:val="clear" w:color="auto" w:fill="000080"/>
    </w:rPr>
  </w:style>
  <w:style w:type="paragraph" w:styleId="852">
    <w:name w:val="批注文字"/>
    <w:basedOn w:val="825"/>
    <w:next w:val="852"/>
    <w:link w:val="853"/>
    <w:uiPriority w:val="99"/>
    <w:qFormat/>
    <w:pPr>
      <w:jc w:val="left"/>
    </w:pPr>
  </w:style>
  <w:style w:type="character" w:styleId="853">
    <w:name w:val="批注文字 Char1"/>
    <w:next w:val="853"/>
    <w:link w:val="852"/>
    <w:uiPriority w:val="99"/>
    <w:qFormat/>
    <w:rPr>
      <w:sz w:val="21"/>
      <w:szCs w:val="24"/>
    </w:rPr>
  </w:style>
  <w:style w:type="paragraph" w:styleId="854">
    <w:name w:val="正文文本 3"/>
    <w:basedOn w:val="825"/>
    <w:next w:val="854"/>
    <w:link w:val="855"/>
    <w:qFormat/>
    <w:pPr>
      <w:spacing w:after="120"/>
    </w:pPr>
    <w:rPr>
      <w:sz w:val="16"/>
      <w:szCs w:val="16"/>
    </w:rPr>
  </w:style>
  <w:style w:type="character" w:styleId="855">
    <w:name w:val="正文文本 3 Char"/>
    <w:basedOn w:val="835"/>
    <w:next w:val="855"/>
    <w:link w:val="854"/>
    <w:qFormat/>
    <w:rPr>
      <w:sz w:val="16"/>
      <w:szCs w:val="16"/>
    </w:rPr>
  </w:style>
  <w:style w:type="paragraph" w:styleId="856">
    <w:name w:val="正文文本"/>
    <w:basedOn w:val="825"/>
    <w:next w:val="825"/>
    <w:link w:val="857"/>
    <w:qFormat/>
    <w:pPr>
      <w:spacing w:before="120" w:line="22" w:lineRule="atLeast"/>
      <w:tabs>
        <w:tab w:val="left" w:pos="567" w:leader="none"/>
      </w:tabs>
    </w:pPr>
    <w:rPr>
      <w:rFonts w:ascii="宋体" w:hAnsi="宋体"/>
      <w:sz w:val="24"/>
    </w:rPr>
  </w:style>
  <w:style w:type="character" w:styleId="857">
    <w:name w:val="正文文本 Char"/>
    <w:basedOn w:val="835"/>
    <w:next w:val="857"/>
    <w:link w:val="856"/>
    <w:qFormat/>
    <w:rPr>
      <w:rFonts w:ascii="宋体" w:hAnsi="宋体"/>
      <w:sz w:val="24"/>
      <w:szCs w:val="24"/>
    </w:rPr>
  </w:style>
  <w:style w:type="paragraph" w:styleId="858">
    <w:name w:val="正文文本缩进"/>
    <w:basedOn w:val="825"/>
    <w:next w:val="825"/>
    <w:link w:val="859"/>
    <w:qFormat/>
    <w:pPr>
      <w:ind w:firstLine="570"/>
      <w:spacing w:line="360" w:lineRule="auto"/>
    </w:pPr>
    <w:rPr>
      <w:sz w:val="24"/>
    </w:rPr>
  </w:style>
  <w:style w:type="character" w:styleId="859">
    <w:name w:val="正文文本缩进 Char2"/>
    <w:next w:val="859"/>
    <w:link w:val="858"/>
    <w:qFormat/>
    <w:rPr>
      <w:rFonts w:eastAsia="宋体"/>
      <w:sz w:val="24"/>
      <w:szCs w:val="24"/>
      <w:lang w:val="en-US" w:eastAsia="zh-CN" w:bidi="ar-SA"/>
    </w:rPr>
  </w:style>
  <w:style w:type="paragraph" w:styleId="860">
    <w:name w:val="列表 2"/>
    <w:basedOn w:val="825"/>
    <w:next w:val="860"/>
    <w:link w:val="825"/>
    <w:qFormat/>
    <w:pPr>
      <w:ind w:left="100" w:hanging="200"/>
    </w:pPr>
  </w:style>
  <w:style w:type="paragraph" w:styleId="861">
    <w:name w:val="文本块"/>
    <w:basedOn w:val="825"/>
    <w:next w:val="861"/>
    <w:link w:val="825"/>
    <w:qFormat/>
    <w:pPr>
      <w:ind w:left="480" w:right="-341" w:firstLine="513"/>
      <w:widowControl/>
    </w:pPr>
    <w:rPr>
      <w:sz w:val="24"/>
      <w:szCs w:val="20"/>
    </w:rPr>
  </w:style>
  <w:style w:type="paragraph" w:styleId="862">
    <w:name w:val="目录 5"/>
    <w:basedOn w:val="825"/>
    <w:next w:val="825"/>
    <w:link w:val="825"/>
    <w:qFormat/>
    <w:pPr>
      <w:ind w:left="1680"/>
    </w:pPr>
  </w:style>
  <w:style w:type="paragraph" w:styleId="863">
    <w:name w:val="目录 3"/>
    <w:basedOn w:val="825"/>
    <w:next w:val="825"/>
    <w:link w:val="825"/>
    <w:uiPriority w:val="39"/>
    <w:qFormat/>
    <w:pPr>
      <w:ind w:left="840"/>
    </w:pPr>
  </w:style>
  <w:style w:type="paragraph" w:styleId="864">
    <w:name w:val="纯文本"/>
    <w:basedOn w:val="825"/>
    <w:next w:val="839"/>
    <w:link w:val="865"/>
    <w:qFormat/>
    <w:rPr>
      <w:rFonts w:hint="eastAsia" w:ascii="宋体" w:hAnsi="Courier New"/>
      <w:szCs w:val="20"/>
    </w:rPr>
  </w:style>
  <w:style w:type="character" w:styleId="865">
    <w:name w:val="纯文本 Char"/>
    <w:basedOn w:val="835"/>
    <w:next w:val="865"/>
    <w:link w:val="864"/>
    <w:qFormat/>
    <w:rPr>
      <w:rFonts w:hint="eastAsia" w:ascii="宋体" w:hAnsi="Courier New" w:eastAsia="宋体" w:cs="宋体"/>
      <w:sz w:val="21"/>
    </w:rPr>
  </w:style>
  <w:style w:type="paragraph" w:styleId="866">
    <w:name w:val="目录 8"/>
    <w:basedOn w:val="825"/>
    <w:next w:val="825"/>
    <w:link w:val="825"/>
    <w:qFormat/>
    <w:pPr>
      <w:ind w:left="2940"/>
    </w:pPr>
  </w:style>
  <w:style w:type="paragraph" w:styleId="867">
    <w:name w:val="日期"/>
    <w:basedOn w:val="825"/>
    <w:next w:val="825"/>
    <w:link w:val="868"/>
    <w:qFormat/>
    <w:pPr>
      <w:ind w:left="100"/>
    </w:pPr>
    <w:rPr>
      <w:rFonts w:ascii="仿宋_GB2312" w:hAnsi="宋体" w:eastAsia="仿宋_GB2312"/>
      <w:color w:val="000000"/>
      <w:sz w:val="24"/>
    </w:rPr>
  </w:style>
  <w:style w:type="character" w:styleId="868">
    <w:name w:val="日期 Char"/>
    <w:basedOn w:val="835"/>
    <w:next w:val="868"/>
    <w:link w:val="867"/>
    <w:qFormat/>
    <w:rPr>
      <w:rFonts w:ascii="仿宋_GB2312" w:hAnsi="宋体" w:eastAsia="仿宋_GB2312"/>
      <w:color w:val="000000"/>
      <w:sz w:val="24"/>
      <w:szCs w:val="24"/>
    </w:rPr>
  </w:style>
  <w:style w:type="paragraph" w:styleId="869">
    <w:name w:val="正文文本缩进 2"/>
    <w:basedOn w:val="825"/>
    <w:next w:val="869"/>
    <w:link w:val="870"/>
    <w:qFormat/>
    <w:pPr>
      <w:ind w:firstLine="480"/>
    </w:pPr>
    <w:rPr>
      <w:rFonts w:ascii="仿宋_GB2312" w:eastAsia="仿宋_GB2312"/>
      <w:sz w:val="24"/>
    </w:rPr>
  </w:style>
  <w:style w:type="character" w:styleId="870">
    <w:name w:val="正文文本缩进 2 Char"/>
    <w:basedOn w:val="835"/>
    <w:next w:val="870"/>
    <w:link w:val="869"/>
    <w:qFormat/>
    <w:rPr>
      <w:rFonts w:ascii="仿宋_GB2312" w:eastAsia="仿宋_GB2312"/>
      <w:sz w:val="24"/>
      <w:szCs w:val="24"/>
    </w:rPr>
  </w:style>
  <w:style w:type="paragraph" w:styleId="871">
    <w:name w:val="批注框文本"/>
    <w:basedOn w:val="825"/>
    <w:next w:val="871"/>
    <w:link w:val="872"/>
    <w:qFormat/>
    <w:rPr>
      <w:sz w:val="18"/>
      <w:szCs w:val="18"/>
    </w:rPr>
  </w:style>
  <w:style w:type="character" w:styleId="872">
    <w:name w:val="批注框文本 Char"/>
    <w:basedOn w:val="835"/>
    <w:next w:val="872"/>
    <w:link w:val="871"/>
    <w:qFormat/>
    <w:rPr>
      <w:sz w:val="18"/>
      <w:szCs w:val="18"/>
    </w:rPr>
  </w:style>
  <w:style w:type="paragraph" w:styleId="873">
    <w:name w:val="页脚"/>
    <w:basedOn w:val="825"/>
    <w:next w:val="873"/>
    <w:link w:val="874"/>
    <w:uiPriority w:val="99"/>
    <w:qFormat/>
    <w:pPr>
      <w:jc w:val="left"/>
      <w:tabs>
        <w:tab w:val="center" w:pos="4153" w:leader="none"/>
        <w:tab w:val="right" w:pos="8306" w:leader="none"/>
      </w:tabs>
    </w:pPr>
    <w:rPr>
      <w:rFonts w:ascii="宋体"/>
      <w:sz w:val="18"/>
      <w:szCs w:val="20"/>
    </w:rPr>
  </w:style>
  <w:style w:type="character" w:styleId="874">
    <w:name w:val="页脚 Char1"/>
    <w:next w:val="874"/>
    <w:link w:val="873"/>
    <w:uiPriority w:val="99"/>
    <w:qFormat/>
    <w:rPr>
      <w:rFonts w:ascii="宋体" w:eastAsia="宋体"/>
      <w:sz w:val="18"/>
      <w:lang w:val="en-US" w:eastAsia="zh-CN" w:bidi="ar-SA"/>
    </w:rPr>
  </w:style>
  <w:style w:type="paragraph" w:styleId="875">
    <w:name w:val="页眉"/>
    <w:basedOn w:val="825"/>
    <w:next w:val="875"/>
    <w:link w:val="876"/>
    <w:qFormat/>
    <w:pPr>
      <w:jc w:val="center"/>
      <w:tabs>
        <w:tab w:val="center" w:pos="4153" w:leader="none"/>
        <w:tab w:val="right" w:pos="8306" w:leader="none"/>
      </w:tabs>
      <w:pBdr>
        <w:bottom w:val="single" w:color="000000" w:sz="6" w:space="1"/>
      </w:pBdr>
    </w:pPr>
    <w:rPr>
      <w:sz w:val="18"/>
      <w:szCs w:val="18"/>
    </w:rPr>
  </w:style>
  <w:style w:type="character" w:styleId="876">
    <w:name w:val="页眉 Char1"/>
    <w:next w:val="876"/>
    <w:link w:val="875"/>
    <w:qFormat/>
    <w:rPr>
      <w:rFonts w:eastAsia="宋体"/>
      <w:sz w:val="18"/>
      <w:szCs w:val="18"/>
      <w:lang w:val="en-US" w:eastAsia="zh-CN" w:bidi="ar-SA"/>
    </w:rPr>
  </w:style>
  <w:style w:type="paragraph" w:styleId="877">
    <w:name w:val="目录 1"/>
    <w:basedOn w:val="825"/>
    <w:next w:val="825"/>
    <w:link w:val="825"/>
    <w:uiPriority w:val="39"/>
    <w:qFormat/>
    <w:pPr>
      <w:spacing w:line="300" w:lineRule="auto"/>
      <w:tabs>
        <w:tab w:val="left" w:pos="1050" w:leader="none"/>
        <w:tab w:val="right" w:pos="8937" w:leader="dot"/>
      </w:tabs>
    </w:pPr>
    <w:rPr>
      <w:rFonts w:ascii="宋体" w:hAnsi="宋体"/>
      <w:b/>
      <w:sz w:val="24"/>
    </w:rPr>
  </w:style>
  <w:style w:type="paragraph" w:styleId="878">
    <w:name w:val="目录 4"/>
    <w:basedOn w:val="825"/>
    <w:next w:val="825"/>
    <w:link w:val="825"/>
    <w:qFormat/>
    <w:pPr>
      <w:ind w:left="1260"/>
    </w:pPr>
  </w:style>
  <w:style w:type="paragraph" w:styleId="879">
    <w:name w:val="目录 6"/>
    <w:basedOn w:val="825"/>
    <w:next w:val="825"/>
    <w:link w:val="825"/>
    <w:qFormat/>
    <w:pPr>
      <w:ind w:left="2100"/>
    </w:pPr>
  </w:style>
  <w:style w:type="paragraph" w:styleId="880">
    <w:name w:val="正文文本缩进 3"/>
    <w:basedOn w:val="825"/>
    <w:next w:val="880"/>
    <w:link w:val="881"/>
    <w:qFormat/>
    <w:pPr>
      <w:ind w:left="720" w:firstLine="480"/>
      <w:jc w:val="left"/>
      <w:spacing w:before="120" w:line="22" w:lineRule="atLeast"/>
    </w:pPr>
    <w:rPr>
      <w:rFonts w:ascii="宋体"/>
      <w:sz w:val="24"/>
      <w:szCs w:val="20"/>
    </w:rPr>
  </w:style>
  <w:style w:type="character" w:styleId="881">
    <w:name w:val="正文文本缩进 3 Char"/>
    <w:basedOn w:val="835"/>
    <w:next w:val="881"/>
    <w:link w:val="880"/>
    <w:qFormat/>
    <w:rPr>
      <w:rFonts w:ascii="宋体"/>
      <w:sz w:val="24"/>
    </w:rPr>
  </w:style>
  <w:style w:type="paragraph" w:styleId="882">
    <w:name w:val="目录 2"/>
    <w:basedOn w:val="825"/>
    <w:next w:val="825"/>
    <w:link w:val="825"/>
    <w:uiPriority w:val="39"/>
    <w:qFormat/>
    <w:pPr>
      <w:ind w:left="420"/>
      <w:spacing w:line="312" w:lineRule="auto"/>
      <w:tabs>
        <w:tab w:val="right" w:pos="8937" w:leader="dot"/>
      </w:tabs>
    </w:pPr>
  </w:style>
  <w:style w:type="paragraph" w:styleId="883">
    <w:name w:val="目录 9"/>
    <w:basedOn w:val="825"/>
    <w:next w:val="825"/>
    <w:link w:val="825"/>
    <w:qFormat/>
    <w:pPr>
      <w:ind w:left="3360"/>
    </w:pPr>
  </w:style>
  <w:style w:type="paragraph" w:styleId="884">
    <w:name w:val="HTML 预设格式"/>
    <w:basedOn w:val="825"/>
    <w:next w:val="884"/>
    <w:link w:val="88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85">
    <w:name w:val="HTML 预设格式 Char"/>
    <w:basedOn w:val="835"/>
    <w:next w:val="885"/>
    <w:link w:val="884"/>
    <w:qFormat/>
    <w:rPr>
      <w:rFonts w:ascii="宋体" w:hAnsi="宋体" w:cs="宋体"/>
      <w:sz w:val="24"/>
      <w:szCs w:val="24"/>
    </w:rPr>
  </w:style>
  <w:style w:type="paragraph" w:styleId="886">
    <w:name w:val="普通(网站)"/>
    <w:basedOn w:val="825"/>
    <w:next w:val="886"/>
    <w:link w:val="825"/>
    <w:uiPriority w:val="99"/>
    <w:unhideWhenUsed/>
    <w:qFormat/>
    <w:pPr>
      <w:jc w:val="left"/>
      <w:spacing w:before="100" w:beforeAutospacing="1" w:after="100" w:afterAutospacing="1"/>
      <w:widowControl/>
    </w:pPr>
    <w:rPr>
      <w:rFonts w:ascii="宋体" w:hAnsi="宋体" w:cs="宋体"/>
      <w:sz w:val="24"/>
    </w:rPr>
  </w:style>
  <w:style w:type="paragraph" w:styleId="887">
    <w:name w:val="索引 1"/>
    <w:basedOn w:val="825"/>
    <w:next w:val="825"/>
    <w:link w:val="825"/>
    <w:qFormat/>
    <w:rPr>
      <w:szCs w:val="20"/>
    </w:rPr>
  </w:style>
  <w:style w:type="paragraph" w:styleId="888">
    <w:name w:val="标题"/>
    <w:basedOn w:val="825"/>
    <w:next w:val="888"/>
    <w:link w:val="889"/>
    <w:qFormat/>
    <w:pPr>
      <w:jc w:val="center"/>
      <w:outlineLvl w:val="0"/>
    </w:pPr>
    <w:rPr>
      <w:b/>
      <w:sz w:val="32"/>
      <w:szCs w:val="20"/>
    </w:rPr>
  </w:style>
  <w:style w:type="character" w:styleId="889">
    <w:name w:val="标题 Char1"/>
    <w:next w:val="889"/>
    <w:link w:val="888"/>
    <w:qFormat/>
    <w:rPr>
      <w:b/>
      <w:sz w:val="32"/>
    </w:rPr>
  </w:style>
  <w:style w:type="paragraph" w:styleId="890">
    <w:name w:val="批注主题"/>
    <w:basedOn w:val="852"/>
    <w:next w:val="852"/>
    <w:link w:val="891"/>
    <w:qFormat/>
    <w:rPr>
      <w:b/>
      <w:bCs/>
    </w:rPr>
  </w:style>
  <w:style w:type="character" w:styleId="891">
    <w:name w:val="批注主题 Char"/>
    <w:basedOn w:val="892"/>
    <w:next w:val="891"/>
    <w:link w:val="890"/>
    <w:qFormat/>
    <w:rPr>
      <w:rFonts w:ascii="Times New Roman" w:hAnsi="Times New Roman" w:eastAsia="宋体" w:cs="Times New Roman"/>
      <w:b/>
      <w:bCs/>
      <w:sz w:val="21"/>
      <w:szCs w:val="24"/>
      <w:lang w:val="en-US" w:eastAsia="zh-CN" w:bidi="ar-SA"/>
    </w:rPr>
  </w:style>
  <w:style w:type="character" w:styleId="892">
    <w:name w:val="批注文字 字符"/>
    <w:next w:val="892"/>
    <w:link w:val="825"/>
    <w:uiPriority w:val="99"/>
    <w:qFormat/>
    <w:rPr>
      <w:rFonts w:ascii="Times New Roman" w:hAnsi="Times New Roman" w:eastAsia="宋体" w:cs="Times New Roman"/>
      <w:sz w:val="24"/>
      <w:lang w:val="en-US" w:eastAsia="zh-CN" w:bidi="ar-SA"/>
    </w:rPr>
  </w:style>
  <w:style w:type="paragraph" w:styleId="893">
    <w:name w:val="正文首行缩进 2"/>
    <w:basedOn w:val="825"/>
    <w:next w:val="825"/>
    <w:link w:val="894"/>
    <w:qFormat/>
    <w:pPr>
      <w:ind w:left="420" w:firstLine="420"/>
      <w:spacing w:after="120" w:line="480" w:lineRule="exact"/>
    </w:pPr>
    <w:rPr>
      <w:szCs w:val="20"/>
    </w:rPr>
  </w:style>
  <w:style w:type="character" w:styleId="894">
    <w:name w:val="正文首行缩进 2 Char"/>
    <w:basedOn w:val="859"/>
    <w:next w:val="894"/>
    <w:link w:val="893"/>
    <w:qFormat/>
    <w:rPr>
      <w:rFonts w:eastAsia="宋体"/>
      <w:sz w:val="24"/>
      <w:szCs w:val="24"/>
      <w:lang w:val="en-US" w:eastAsia="zh-CN" w:bidi="ar-SA"/>
    </w:rPr>
  </w:style>
  <w:style w:type="table" w:styleId="895">
    <w:name w:val="网格型"/>
    <w:basedOn w:val="836"/>
    <w:next w:val="895"/>
    <w:link w:val="825"/>
    <w:uiPriority w:val="39"/>
    <w:qFormat/>
    <w:tblPr/>
  </w:style>
  <w:style w:type="table" w:styleId="896">
    <w:name w:val="中等深浅网格 1 - 强调文字颜色 2"/>
    <w:basedOn w:val="836"/>
    <w:next w:val="896"/>
    <w:link w:val="825"/>
    <w:qFormat/>
    <w:rPr>
      <w:sz w:val="21"/>
      <w:szCs w:val="24"/>
    </w:rPr>
    <w:tblPr/>
  </w:style>
  <w:style w:type="character" w:styleId="897">
    <w:name w:val="要点"/>
    <w:next w:val="897"/>
    <w:link w:val="825"/>
    <w:qFormat/>
    <w:rPr>
      <w:b/>
      <w:bCs/>
    </w:rPr>
  </w:style>
  <w:style w:type="character" w:styleId="898">
    <w:name w:val="页码"/>
    <w:basedOn w:val="835"/>
    <w:next w:val="898"/>
    <w:link w:val="825"/>
    <w:qFormat/>
  </w:style>
  <w:style w:type="character" w:styleId="899">
    <w:name w:val="已访问的超链接"/>
    <w:next w:val="899"/>
    <w:link w:val="825"/>
    <w:qFormat/>
    <w:rPr>
      <w:color w:val="800080"/>
      <w:u w:val="single"/>
    </w:rPr>
  </w:style>
  <w:style w:type="character" w:styleId="900">
    <w:name w:val="强调"/>
    <w:next w:val="900"/>
    <w:link w:val="825"/>
    <w:qFormat/>
    <w:rPr>
      <w:color w:val="cc0033"/>
    </w:rPr>
  </w:style>
  <w:style w:type="character" w:styleId="901">
    <w:name w:val="超链接"/>
    <w:next w:val="901"/>
    <w:link w:val="825"/>
    <w:uiPriority w:val="99"/>
    <w:qFormat/>
    <w:rPr>
      <w:color w:val="0000ff"/>
      <w:u w:val="single"/>
    </w:rPr>
  </w:style>
  <w:style w:type="character" w:styleId="902">
    <w:name w:val="批注引用"/>
    <w:next w:val="902"/>
    <w:link w:val="825"/>
    <w:uiPriority w:val="99"/>
    <w:qFormat/>
    <w:rPr>
      <w:sz w:val="21"/>
      <w:szCs w:val="21"/>
    </w:rPr>
  </w:style>
  <w:style w:type="character" w:styleId="903">
    <w:name w:val="HTML 引文"/>
    <w:next w:val="903"/>
    <w:link w:val="825"/>
    <w:qFormat/>
    <w:rPr>
      <w:i/>
      <w:iCs/>
    </w:rPr>
  </w:style>
  <w:style w:type="paragraph" w:styleId="904">
    <w:name w:val="标题 31"/>
    <w:basedOn w:val="825"/>
    <w:next w:val="825"/>
    <w:link w:val="825"/>
    <w:qFormat/>
    <w:pPr>
      <w:jc w:val="left"/>
      <w:keepLines/>
      <w:keepNext/>
      <w:spacing w:before="360" w:after="120"/>
      <w:outlineLvl w:val="2"/>
    </w:pPr>
    <w:rPr>
      <w:rFonts w:ascii="宋体"/>
      <w:b/>
      <w:sz w:val="24"/>
      <w:szCs w:val="20"/>
      <w:u w:val="single"/>
    </w:rPr>
  </w:style>
  <w:style w:type="paragraph" w:styleId="905">
    <w:name w:val="正文首行缩进 21"/>
    <w:basedOn w:val="906"/>
    <w:next w:val="905"/>
    <w:link w:val="825"/>
    <w:qFormat/>
    <w:pPr>
      <w:ind w:left="420" w:firstLine="420"/>
      <w:spacing w:after="120" w:line="480" w:lineRule="exact"/>
    </w:pPr>
    <w:rPr>
      <w:szCs w:val="20"/>
    </w:rPr>
  </w:style>
  <w:style w:type="paragraph" w:styleId="906">
    <w:name w:val="正文文本缩进11"/>
    <w:basedOn w:val="825"/>
    <w:next w:val="906"/>
    <w:link w:val="825"/>
    <w:qFormat/>
    <w:pPr>
      <w:ind w:firstLine="570"/>
      <w:spacing w:line="360" w:lineRule="auto"/>
    </w:pPr>
    <w:rPr>
      <w:sz w:val="24"/>
    </w:rPr>
  </w:style>
  <w:style w:type="paragraph" w:styleId="907">
    <w:name w:val="寄信人地址1"/>
    <w:basedOn w:val="825"/>
    <w:next w:val="907"/>
    <w:link w:val="825"/>
    <w:qFormat/>
    <w:rPr>
      <w:rFonts w:ascii="Arial" w:hAnsi="Arial"/>
    </w:rPr>
  </w:style>
  <w:style w:type="character" w:styleId="908">
    <w:name w:val="c21"/>
    <w:next w:val="908"/>
    <w:link w:val="825"/>
    <w:qFormat/>
    <w:rPr>
      <w:rFonts w:ascii="ˎ̥" w:hAnsi="ˎ̥"/>
      <w:color w:val="000000"/>
      <w:sz w:val="20"/>
      <w:szCs w:val="20"/>
      <w:u w:val="none"/>
    </w:rPr>
  </w:style>
  <w:style w:type="character" w:styleId="909">
    <w:name w:val="title4"/>
    <w:next w:val="909"/>
    <w:link w:val="825"/>
    <w:qFormat/>
    <w:rPr>
      <w:b/>
      <w:bCs/>
      <w:color w:val="1d87b3"/>
      <w:sz w:val="15"/>
      <w:szCs w:val="15"/>
    </w:rPr>
  </w:style>
  <w:style w:type="character" w:styleId="910">
    <w:name w:val="标题 2 Char Char"/>
    <w:next w:val="910"/>
    <w:link w:val="825"/>
    <w:qFormat/>
    <w:rPr>
      <w:rFonts w:ascii="Arial" w:hAnsi="Arial" w:eastAsia="黑体"/>
      <w:b/>
      <w:bCs/>
      <w:sz w:val="32"/>
      <w:szCs w:val="32"/>
      <w:lang w:val="en-US" w:eastAsia="zh-CN" w:bidi="ar-SA"/>
    </w:rPr>
  </w:style>
  <w:style w:type="character" w:styleId="911">
    <w:name w:val="black1"/>
    <w:next w:val="911"/>
    <w:link w:val="825"/>
    <w:qFormat/>
    <w:rPr>
      <w:color w:val="000000"/>
    </w:rPr>
  </w:style>
  <w:style w:type="character" w:styleId="912">
    <w:name w:val="street-address"/>
    <w:basedOn w:val="835"/>
    <w:next w:val="912"/>
    <w:link w:val="825"/>
    <w:qFormat/>
  </w:style>
  <w:style w:type="character" w:styleId="913">
    <w:name w:val="locality"/>
    <w:basedOn w:val="835"/>
    <w:next w:val="913"/>
    <w:link w:val="825"/>
    <w:qFormat/>
  </w:style>
  <w:style w:type="character" w:styleId="914">
    <w:name w:val="正文文本缩进 Char1"/>
    <w:next w:val="914"/>
    <w:link w:val="915"/>
    <w:qFormat/>
    <w:rPr>
      <w:rFonts w:ascii="宋体" w:hAnsi="宋体" w:eastAsia="宋体"/>
      <w:sz w:val="24"/>
      <w:szCs w:val="24"/>
      <w:lang w:bidi="ar-SA"/>
    </w:rPr>
  </w:style>
  <w:style w:type="paragraph" w:styleId="915">
    <w:name w:val="正文文本缩进1"/>
    <w:basedOn w:val="825"/>
    <w:next w:val="915"/>
    <w:link w:val="914"/>
    <w:qFormat/>
    <w:pPr>
      <w:ind w:firstLine="480"/>
      <w:spacing w:line="480" w:lineRule="exact"/>
    </w:pPr>
    <w:rPr>
      <w:rFonts w:ascii="宋体" w:hAnsi="宋体"/>
      <w:sz w:val="24"/>
    </w:rPr>
  </w:style>
  <w:style w:type="character" w:styleId="916">
    <w:name w:val="Char Char11"/>
    <w:next w:val="916"/>
    <w:link w:val="825"/>
    <w:qFormat/>
    <w:rPr>
      <w:rFonts w:ascii="宋体" w:eastAsia="宋体"/>
      <w:b/>
      <w:sz w:val="24"/>
      <w:u w:val="single"/>
      <w:lang w:val="en-US" w:eastAsia="zh-CN" w:bidi="ar-SA"/>
    </w:rPr>
  </w:style>
  <w:style w:type="character" w:styleId="917">
    <w:name w:val="txt"/>
    <w:basedOn w:val="835"/>
    <w:next w:val="917"/>
    <w:link w:val="825"/>
    <w:qFormat/>
  </w:style>
  <w:style w:type="character" w:styleId="918">
    <w:name w:val="正文缩进 Char Char"/>
    <w:next w:val="918"/>
    <w:link w:val="919"/>
    <w:qFormat/>
    <w:rPr>
      <w:rFonts w:ascii="宋体" w:eastAsia="宋体"/>
      <w:color w:val="000000"/>
      <w:sz w:val="28"/>
      <w:lang w:bidi="ar-SA"/>
    </w:rPr>
  </w:style>
  <w:style w:type="paragraph" w:styleId="919">
    <w:name w:val="正文缩进1"/>
    <w:basedOn w:val="825"/>
    <w:next w:val="919"/>
    <w:link w:val="918"/>
    <w:qFormat/>
    <w:pPr>
      <w:ind w:firstLine="567"/>
      <w:spacing w:line="480" w:lineRule="exact"/>
      <w:widowControl/>
    </w:pPr>
    <w:rPr>
      <w:rFonts w:ascii="宋体"/>
      <w:color w:val="000000"/>
      <w:sz w:val="28"/>
      <w:szCs w:val="20"/>
    </w:rPr>
  </w:style>
  <w:style w:type="character" w:styleId="920">
    <w:name w:val="普通文字1 Char1"/>
    <w:next w:val="920"/>
    <w:link w:val="825"/>
    <w:qFormat/>
    <w:rPr>
      <w:rFonts w:ascii="宋体" w:hAnsi="Courier New" w:eastAsia="宋体"/>
      <w:sz w:val="21"/>
      <w:lang w:val="en-US" w:eastAsia="zh-CN" w:bidi="ar-SA"/>
    </w:rPr>
  </w:style>
  <w:style w:type="character" w:styleId="921">
    <w:name w:val="chanpin1"/>
    <w:next w:val="921"/>
    <w:link w:val="825"/>
    <w:qFormat/>
    <w:rPr>
      <w:rFonts w:ascii="ˎ̥" w:hAnsi="ˎ̥"/>
      <w:color w:val="000000"/>
      <w:sz w:val="20"/>
      <w:szCs w:val="20"/>
      <w:u w:val="none"/>
    </w:rPr>
  </w:style>
  <w:style w:type="character" w:styleId="922">
    <w:name w:val="列出段落 Char1"/>
    <w:next w:val="922"/>
    <w:link w:val="923"/>
    <w:uiPriority w:val="34"/>
    <w:qFormat/>
    <w:rPr>
      <w:rFonts w:ascii="Calibri" w:hAnsi="Calibri" w:eastAsia="宋体"/>
      <w:sz w:val="21"/>
      <w:szCs w:val="22"/>
      <w:lang w:val="en-US" w:eastAsia="zh-CN" w:bidi="ar-SA"/>
    </w:rPr>
  </w:style>
  <w:style w:type="paragraph" w:styleId="923">
    <w:name w:val="列出段落"/>
    <w:basedOn w:val="825"/>
    <w:next w:val="923"/>
    <w:link w:val="922"/>
    <w:uiPriority w:val="34"/>
    <w:qFormat/>
    <w:pPr>
      <w:ind w:firstLine="420"/>
    </w:pPr>
    <w:rPr>
      <w:rFonts w:ascii="Calibri" w:hAnsi="Calibri"/>
      <w:szCs w:val="22"/>
    </w:rPr>
  </w:style>
  <w:style w:type="character" w:styleId="924">
    <w:name w:val="标题 3 Char Char"/>
    <w:next w:val="924"/>
    <w:link w:val="825"/>
    <w:qFormat/>
    <w:rPr>
      <w:rFonts w:eastAsia="宋体"/>
      <w:b/>
      <w:bCs/>
      <w:sz w:val="32"/>
      <w:szCs w:val="32"/>
      <w:lang w:val="en-US" w:eastAsia="zh-CN" w:bidi="ar-SA"/>
    </w:rPr>
  </w:style>
  <w:style w:type="character" w:styleId="925">
    <w:name w:val="段1 Char"/>
    <w:next w:val="925"/>
    <w:link w:val="825"/>
    <w:qFormat/>
    <w:rPr>
      <w:rFonts w:ascii="宋体" w:eastAsia="宋体"/>
      <w:sz w:val="24"/>
      <w:lang w:val="en-US" w:eastAsia="zh-CN" w:bidi="ar-SA"/>
    </w:rPr>
  </w:style>
  <w:style w:type="character" w:styleId="926">
    <w:name w:val="chanpin拷贝"/>
    <w:basedOn w:val="835"/>
    <w:next w:val="926"/>
    <w:link w:val="825"/>
    <w:qFormat/>
  </w:style>
  <w:style w:type="character" w:styleId="927">
    <w:name w:val="纯文本 Char1"/>
    <w:next w:val="927"/>
    <w:link w:val="825"/>
    <w:qFormat/>
    <w:rPr>
      <w:rFonts w:ascii="宋体" w:hAnsi="Courier New" w:eastAsia="宋体"/>
      <w:sz w:val="21"/>
      <w:lang w:val="en-US" w:eastAsia="zh-CN" w:bidi="ar-SA"/>
    </w:rPr>
  </w:style>
  <w:style w:type="character" w:styleId="928">
    <w:name w:val="apple-style-span"/>
    <w:next w:val="928"/>
    <w:link w:val="825"/>
    <w:qFormat/>
    <w:rPr>
      <w:rFonts w:cs="Times New Roman"/>
    </w:rPr>
  </w:style>
  <w:style w:type="paragraph" w:styleId="929">
    <w:name w:val="二级条标题"/>
    <w:basedOn w:val="930"/>
    <w:next w:val="825"/>
    <w:link w:val="825"/>
    <w:qFormat/>
    <w:pPr>
      <w:numPr>
        <w:ilvl w:val="0"/>
        <w:numId w:val="0"/>
      </w:numPr>
      <w:ind w:hanging="840"/>
      <w:tabs>
        <w:tab w:val="left" w:pos="360" w:leader="none"/>
        <w:tab w:val="left" w:pos="840" w:leader="none"/>
      </w:tabs>
      <w:outlineLvl w:val="2"/>
    </w:pPr>
    <w:rPr>
      <w:rFonts w:ascii="宋体" w:eastAsia="宋体"/>
      <w:b w:val="0"/>
    </w:rPr>
  </w:style>
  <w:style w:type="paragraph" w:styleId="930">
    <w:name w:val="一级条标题"/>
    <w:basedOn w:val="931"/>
    <w:next w:val="825"/>
    <w:link w:val="825"/>
    <w:qFormat/>
    <w:pPr>
      <w:numPr>
        <w:ilvl w:val="1"/>
      </w:numPr>
      <w:ind w:left="0" w:hanging="840"/>
      <w:tabs>
        <w:tab w:val="left" w:pos="360" w:leader="none"/>
        <w:tab w:val="left" w:pos="840" w:leader="none"/>
      </w:tabs>
      <w:outlineLvl w:val="1"/>
    </w:pPr>
  </w:style>
  <w:style w:type="paragraph" w:styleId="931">
    <w:name w:val="章标题"/>
    <w:next w:val="825"/>
    <w:link w:val="82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32">
    <w:name w:val="font7"/>
    <w:basedOn w:val="825"/>
    <w:next w:val="932"/>
    <w:link w:val="825"/>
    <w:qFormat/>
    <w:pPr>
      <w:jc w:val="left"/>
      <w:spacing w:before="100" w:beforeAutospacing="1" w:after="100" w:afterAutospacing="1"/>
      <w:widowControl/>
    </w:pPr>
    <w:rPr>
      <w:rFonts w:eastAsia="Arial Unicode MS"/>
      <w:b/>
      <w:bCs/>
      <w:color w:val="000000"/>
      <w:sz w:val="20"/>
      <w:szCs w:val="20"/>
    </w:rPr>
  </w:style>
  <w:style w:type="paragraph" w:styleId="933">
    <w:name w:val="字元 字元"/>
    <w:basedOn w:val="825"/>
    <w:next w:val="933"/>
    <w:link w:val="825"/>
    <w:qFormat/>
    <w:rPr>
      <w:rFonts w:ascii="Tahoma" w:hAnsi="Tahoma"/>
      <w:sz w:val="24"/>
      <w:szCs w:val="20"/>
    </w:rPr>
  </w:style>
  <w:style w:type="paragraph" w:styleId="934">
    <w:name w:val="Char3 Char Char Char"/>
    <w:basedOn w:val="825"/>
    <w:next w:val="934"/>
    <w:link w:val="825"/>
    <w:qFormat/>
    <w:rPr>
      <w:rFonts w:ascii="Tahoma" w:hAnsi="Tahoma"/>
      <w:sz w:val="24"/>
      <w:szCs w:val="20"/>
    </w:rPr>
  </w:style>
  <w:style w:type="paragraph" w:styleId="935">
    <w:name w:val="font6"/>
    <w:basedOn w:val="825"/>
    <w:next w:val="935"/>
    <w:link w:val="825"/>
    <w:qFormat/>
    <w:pPr>
      <w:jc w:val="left"/>
      <w:spacing w:before="100" w:beforeAutospacing="1" w:after="100" w:afterAutospacing="1"/>
      <w:widowControl/>
    </w:pPr>
    <w:rPr>
      <w:rFonts w:ascii="宋体" w:hAnsi="宋体" w:cs="宋体"/>
      <w:sz w:val="20"/>
      <w:szCs w:val="20"/>
    </w:rPr>
  </w:style>
  <w:style w:type="paragraph" w:styleId="936">
    <w:name w:val="项目编号2"/>
    <w:basedOn w:val="937"/>
    <w:next w:val="936"/>
    <w:link w:val="825"/>
    <w:qFormat/>
    <w:pPr>
      <w:numPr>
        <w:numId w:val="3"/>
      </w:numPr>
    </w:pPr>
  </w:style>
  <w:style w:type="paragraph" w:styleId="937">
    <w:name w:val="项目编号1"/>
    <w:basedOn w:val="825"/>
    <w:next w:val="937"/>
    <w:link w:val="825"/>
    <w:qFormat/>
    <w:pPr>
      <w:numPr>
        <w:ilvl w:val="0"/>
        <w:numId w:val="2"/>
      </w:numPr>
      <w:spacing w:before="100" w:beforeAutospacing="1" w:after="100" w:afterAutospacing="1" w:line="360" w:lineRule="auto"/>
    </w:pPr>
    <w:rPr>
      <w:sz w:val="24"/>
    </w:rPr>
  </w:style>
  <w:style w:type="paragraph" w:styleId="938">
    <w:name w:val="图中文字"/>
    <w:basedOn w:val="825"/>
    <w:next w:val="938"/>
    <w:link w:val="825"/>
    <w:qFormat/>
    <w:pPr>
      <w:jc w:val="center"/>
      <w:spacing w:line="0" w:lineRule="atLeast"/>
    </w:pPr>
    <w:rPr>
      <w:sz w:val="24"/>
      <w:szCs w:val="20"/>
    </w:rPr>
  </w:style>
  <w:style w:type="paragraph" w:styleId="939">
    <w:name w:val="xl46"/>
    <w:basedOn w:val="825"/>
    <w:next w:val="939"/>
    <w:link w:val="82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40">
    <w:name w:val="xl25"/>
    <w:basedOn w:val="825"/>
    <w:next w:val="940"/>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1">
    <w:name w:val="Char2"/>
    <w:basedOn w:val="825"/>
    <w:next w:val="941"/>
    <w:link w:val="825"/>
    <w:qFormat/>
    <w:rPr>
      <w:rFonts w:ascii="Tahoma" w:hAnsi="Tahoma"/>
      <w:sz w:val="24"/>
      <w:szCs w:val="20"/>
    </w:rPr>
  </w:style>
  <w:style w:type="paragraph" w:styleId="942">
    <w:name w:val="xl35"/>
    <w:basedOn w:val="825"/>
    <w:next w:val="942"/>
    <w:link w:val="8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43">
    <w:name w:val="xl40"/>
    <w:basedOn w:val="825"/>
    <w:next w:val="943"/>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4">
    <w:name w:val="xl52"/>
    <w:basedOn w:val="825"/>
    <w:next w:val="944"/>
    <w:link w:val="8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45">
    <w:name w:val="xl43"/>
    <w:basedOn w:val="825"/>
    <w:next w:val="945"/>
    <w:link w:val="8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46">
    <w:name w:val="background1"/>
    <w:basedOn w:val="825"/>
    <w:next w:val="946"/>
    <w:link w:val="825"/>
    <w:qFormat/>
    <w:pPr>
      <w:jc w:val="left"/>
      <w:spacing w:before="100" w:beforeAutospacing="1" w:after="100" w:afterAutospacing="1"/>
      <w:widowControl/>
    </w:pPr>
    <w:rPr>
      <w:rFonts w:ascii="宋体" w:hAnsi="宋体" w:cs="宋体"/>
      <w:sz w:val="24"/>
    </w:rPr>
  </w:style>
  <w:style w:type="paragraph" w:styleId="947">
    <w:name w:val="Char Char Char Char Char Char Char"/>
    <w:basedOn w:val="825"/>
    <w:next w:val="947"/>
    <w:link w:val="825"/>
    <w:qFormat/>
    <w:pPr>
      <w:ind w:firstLine="200"/>
      <w:spacing w:line="360" w:lineRule="auto"/>
    </w:pPr>
    <w:rPr>
      <w:rFonts w:eastAsia="仿宋_GB2312"/>
      <w:sz w:val="24"/>
    </w:rPr>
  </w:style>
  <w:style w:type="paragraph" w:styleId="948">
    <w:name w:val="xl38"/>
    <w:basedOn w:val="825"/>
    <w:next w:val="948"/>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49">
    <w:name w:val="xl36"/>
    <w:basedOn w:val="825"/>
    <w:next w:val="949"/>
    <w:link w:val="82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50">
    <w:name w:val="正文 + 宋体"/>
    <w:basedOn w:val="825"/>
    <w:next w:val="950"/>
    <w:link w:val="825"/>
    <w:qFormat/>
    <w:pPr>
      <w:ind w:left="360" w:hanging="360"/>
      <w:jc w:val="left"/>
      <w:widowControl/>
    </w:pPr>
    <w:rPr>
      <w:rFonts w:ascii="宋体" w:hAnsi="宋体" w:cs="宋体"/>
      <w:b/>
      <w:bCs/>
      <w:color w:val="000000"/>
      <w:sz w:val="18"/>
      <w:szCs w:val="18"/>
    </w:rPr>
  </w:style>
  <w:style w:type="paragraph" w:styleId="951">
    <w:name w:val="正文列项_数字"/>
    <w:basedOn w:val="825"/>
    <w:next w:val="951"/>
    <w:link w:val="825"/>
    <w:qFormat/>
    <w:pPr>
      <w:numPr>
        <w:ilvl w:val="7"/>
        <w:numId w:val="1"/>
      </w:numPr>
      <w:ind w:left="680" w:hanging="150"/>
      <w:spacing w:line="460" w:lineRule="exact"/>
      <w:tabs>
        <w:tab w:val="clear" w:pos="860" w:leader="none"/>
      </w:tabs>
      <w:outlineLvl w:val="7"/>
    </w:pPr>
    <w:rPr>
      <w:rFonts w:ascii="宋体"/>
      <w:sz w:val="28"/>
      <w:szCs w:val="20"/>
    </w:rPr>
  </w:style>
  <w:style w:type="paragraph" w:styleId="952">
    <w:name w:val="xl39"/>
    <w:basedOn w:val="825"/>
    <w:next w:val="952"/>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3">
    <w:name w:val="xl37"/>
    <w:basedOn w:val="825"/>
    <w:next w:val="953"/>
    <w:link w:val="8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54">
    <w:name w:val="xl32"/>
    <w:basedOn w:val="825"/>
    <w:next w:val="954"/>
    <w:link w:val="8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5">
    <w:name w:val="font8"/>
    <w:basedOn w:val="825"/>
    <w:next w:val="955"/>
    <w:link w:val="825"/>
    <w:qFormat/>
    <w:pPr>
      <w:jc w:val="left"/>
      <w:spacing w:before="100" w:beforeAutospacing="1" w:after="100" w:afterAutospacing="1"/>
      <w:widowControl/>
    </w:pPr>
    <w:rPr>
      <w:sz w:val="36"/>
      <w:szCs w:val="36"/>
    </w:rPr>
  </w:style>
  <w:style w:type="paragraph" w:styleId="956">
    <w:name w:val="Char"/>
    <w:basedOn w:val="825"/>
    <w:next w:val="956"/>
    <w:link w:val="825"/>
    <w:qFormat/>
    <w:pPr>
      <w:tabs>
        <w:tab w:val="left" w:pos="360" w:leader="none"/>
      </w:tabs>
    </w:pPr>
    <w:rPr>
      <w:sz w:val="24"/>
    </w:rPr>
  </w:style>
  <w:style w:type="paragraph" w:styleId="957">
    <w:name w:val="Char Char Char Char Char Char Char Char Char Char Char Char Char Char Char Char"/>
    <w:basedOn w:val="825"/>
    <w:next w:val="957"/>
    <w:link w:val="825"/>
    <w:qFormat/>
    <w:pPr>
      <w:jc w:val="center"/>
      <w:spacing w:after="160" w:line="240" w:lineRule="exact"/>
      <w:widowControl/>
    </w:pPr>
    <w:rPr>
      <w:rFonts w:ascii="宋体" w:hAnsi="宋体"/>
      <w:b/>
      <w:sz w:val="30"/>
      <w:szCs w:val="30"/>
      <w:lang w:eastAsia="en-US"/>
    </w:rPr>
  </w:style>
  <w:style w:type="paragraph" w:styleId="958">
    <w:name w:val="xl45"/>
    <w:basedOn w:val="825"/>
    <w:next w:val="958"/>
    <w:link w:val="8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59">
    <w:name w:val="Char Char1 Char Char Char Char Char Char"/>
    <w:basedOn w:val="825"/>
    <w:next w:val="959"/>
    <w:link w:val="825"/>
    <w:qFormat/>
    <w:pPr>
      <w:jc w:val="left"/>
      <w:spacing w:after="160" w:line="240" w:lineRule="exact"/>
      <w:widowControl/>
    </w:pPr>
    <w:rPr>
      <w:rFonts w:ascii="Verdana" w:hAnsi="Verdana" w:eastAsia="仿宋_GB2312"/>
      <w:sz w:val="24"/>
      <w:szCs w:val="20"/>
      <w:lang w:eastAsia="en-US"/>
    </w:rPr>
  </w:style>
  <w:style w:type="paragraph" w:styleId="960">
    <w:name w:val="Char Char1"/>
    <w:basedOn w:val="850"/>
    <w:next w:val="960"/>
    <w:link w:val="825"/>
    <w:qFormat/>
    <w:rPr>
      <w:rFonts w:ascii="Tahoma" w:hAnsi="Tahoma"/>
      <w:sz w:val="24"/>
    </w:rPr>
  </w:style>
  <w:style w:type="paragraph" w:styleId="961">
    <w:name w:val="xl26"/>
    <w:basedOn w:val="825"/>
    <w:next w:val="961"/>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62">
    <w:name w:val="xl30"/>
    <w:basedOn w:val="825"/>
    <w:next w:val="962"/>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3">
    <w:name w:val="xl41"/>
    <w:basedOn w:val="825"/>
    <w:next w:val="963"/>
    <w:link w:val="82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64">
    <w:name w:val="样式 宋体 五号 行距: 单倍行距"/>
    <w:basedOn w:val="825"/>
    <w:next w:val="964"/>
    <w:link w:val="825"/>
    <w:qFormat/>
    <w:pPr>
      <w:jc w:val="left"/>
    </w:pPr>
    <w:rPr>
      <w:rFonts w:ascii="宋体" w:hAnsi="宋体"/>
      <w:szCs w:val="20"/>
    </w:rPr>
  </w:style>
  <w:style w:type="paragraph" w:styleId="965">
    <w:name w:val="Char1 Char Char Char1"/>
    <w:basedOn w:val="825"/>
    <w:next w:val="965"/>
    <w:link w:val="825"/>
    <w:qFormat/>
    <w:rPr>
      <w:rFonts w:ascii="Tahoma" w:hAnsi="Tahoma" w:cs="仿宋_GB2312"/>
      <w:sz w:val="24"/>
      <w:szCs w:val="28"/>
    </w:rPr>
  </w:style>
  <w:style w:type="paragraph" w:styleId="966">
    <w:name w:val="四级条标题"/>
    <w:basedOn w:val="967"/>
    <w:next w:val="825"/>
    <w:link w:val="825"/>
    <w:qFormat/>
    <w:pPr>
      <w:numPr>
        <w:ilvl w:val="4"/>
      </w:numPr>
      <w:ind w:left="0" w:hanging="840"/>
      <w:tabs>
        <w:tab w:val="left" w:pos="360" w:leader="none"/>
        <w:tab w:val="left" w:pos="840" w:leader="none"/>
      </w:tabs>
      <w:outlineLvl w:val="4"/>
    </w:pPr>
  </w:style>
  <w:style w:type="paragraph" w:styleId="967">
    <w:name w:val="三级条标题"/>
    <w:basedOn w:val="929"/>
    <w:next w:val="825"/>
    <w:link w:val="825"/>
    <w:qFormat/>
    <w:pPr>
      <w:numPr>
        <w:ilvl w:val="3"/>
        <w:numId w:val="1"/>
      </w:numPr>
      <w:ind w:left="0" w:hanging="840"/>
      <w:tabs>
        <w:tab w:val="left" w:pos="360" w:leader="none"/>
        <w:tab w:val="left" w:pos="840" w:leader="none"/>
      </w:tabs>
      <w:outlineLvl w:val="3"/>
    </w:pPr>
  </w:style>
  <w:style w:type="paragraph" w:styleId="968">
    <w:name w:val="??"/>
    <w:next w:val="968"/>
    <w:link w:val="825"/>
    <w:qFormat/>
    <w:pPr>
      <w:jc w:val="both"/>
      <w:widowControl w:val="off"/>
    </w:pPr>
    <w:rPr>
      <w:sz w:val="21"/>
      <w:lang w:val="en-US" w:eastAsia="en-US" w:bidi="ar-SA"/>
    </w:rPr>
  </w:style>
  <w:style w:type="paragraph" w:styleId="969">
    <w:name w:val="样式 标题 2 + 宋体 五号 行距: 单倍行距"/>
    <w:basedOn w:val="827"/>
    <w:next w:val="969"/>
    <w:link w:val="82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70">
    <w:name w:val="List Paragraph1"/>
    <w:basedOn w:val="825"/>
    <w:next w:val="970"/>
    <w:link w:val="825"/>
    <w:qFormat/>
    <w:pPr>
      <w:ind w:firstLine="420"/>
    </w:pPr>
    <w:rPr>
      <w:rFonts w:ascii="Calibri" w:hAnsi="Calibri"/>
      <w:szCs w:val="22"/>
    </w:rPr>
  </w:style>
  <w:style w:type="paragraph" w:styleId="971">
    <w:name w:val="项目符号1"/>
    <w:basedOn w:val="972"/>
    <w:next w:val="971"/>
    <w:link w:val="825"/>
    <w:qFormat/>
    <w:pPr>
      <w:ind w:left="-25" w:firstLine="0"/>
    </w:pPr>
  </w:style>
  <w:style w:type="paragraph" w:styleId="972">
    <w:name w:val="正文文本样式"/>
    <w:basedOn w:val="825"/>
    <w:next w:val="972"/>
    <w:link w:val="825"/>
    <w:qFormat/>
    <w:pPr>
      <w:ind w:firstLine="482"/>
      <w:spacing w:line="360" w:lineRule="auto"/>
    </w:pPr>
    <w:rPr>
      <w:rFonts w:cs="宋体"/>
      <w:sz w:val="24"/>
      <w:szCs w:val="20"/>
    </w:rPr>
  </w:style>
  <w:style w:type="paragraph" w:styleId="973">
    <w:name w:val="xl27"/>
    <w:basedOn w:val="825"/>
    <w:next w:val="973"/>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74">
    <w:name w:val="font5"/>
    <w:basedOn w:val="825"/>
    <w:next w:val="974"/>
    <w:link w:val="825"/>
    <w:qFormat/>
    <w:pPr>
      <w:jc w:val="left"/>
      <w:spacing w:before="100" w:beforeAutospacing="1" w:after="100" w:afterAutospacing="1"/>
      <w:widowControl/>
    </w:pPr>
    <w:rPr>
      <w:rFonts w:ascii="宋体" w:hAnsi="宋体" w:cs="宋体"/>
      <w:sz w:val="18"/>
      <w:szCs w:val="18"/>
    </w:rPr>
  </w:style>
  <w:style w:type="paragraph" w:styleId="975">
    <w:name w:val="五级条标题"/>
    <w:basedOn w:val="966"/>
    <w:next w:val="825"/>
    <w:link w:val="825"/>
    <w:qFormat/>
    <w:pPr>
      <w:numPr>
        <w:ilvl w:val="5"/>
      </w:numPr>
      <w:ind w:left="0" w:hanging="840"/>
      <w:tabs>
        <w:tab w:val="left" w:pos="360" w:leader="none"/>
        <w:tab w:val="left" w:pos="840" w:leader="none"/>
      </w:tabs>
      <w:outlineLvl w:val="5"/>
    </w:pPr>
  </w:style>
  <w:style w:type="paragraph" w:styleId="976">
    <w:name w:val="xl49"/>
    <w:basedOn w:val="825"/>
    <w:next w:val="976"/>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77">
    <w:name w:val="文档正文"/>
    <w:basedOn w:val="825"/>
    <w:next w:val="977"/>
    <w:link w:val="825"/>
    <w:qFormat/>
    <w:pPr>
      <w:spacing w:before="120" w:after="120" w:line="180" w:lineRule="auto"/>
    </w:pPr>
    <w:rPr>
      <w:rFonts w:ascii="Arial" w:hAnsi="Arial"/>
      <w:szCs w:val="20"/>
    </w:rPr>
  </w:style>
  <w:style w:type="paragraph" w:styleId="978">
    <w:name w:val="xl33"/>
    <w:basedOn w:val="825"/>
    <w:next w:val="978"/>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79">
    <w:name w:val="xl42"/>
    <w:basedOn w:val="825"/>
    <w:next w:val="979"/>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80">
    <w:name w:val="Char Char Char1 Char"/>
    <w:basedOn w:val="825"/>
    <w:next w:val="980"/>
    <w:link w:val="825"/>
    <w:qFormat/>
    <w:rPr>
      <w:rFonts w:ascii="Tahoma" w:hAnsi="Tahoma"/>
      <w:sz w:val="24"/>
      <w:szCs w:val="20"/>
    </w:rPr>
  </w:style>
  <w:style w:type="paragraph" w:styleId="981">
    <w:name w:val="xl44"/>
    <w:basedOn w:val="825"/>
    <w:next w:val="981"/>
    <w:link w:val="8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82">
    <w:name w:val="1名"/>
    <w:basedOn w:val="825"/>
    <w:next w:val="982"/>
    <w:link w:val="825"/>
    <w:qFormat/>
    <w:pPr>
      <w:numPr>
        <w:ilvl w:val="0"/>
        <w:numId w:val="5"/>
      </w:numPr>
      <w:spacing w:before="120"/>
      <w:tabs>
        <w:tab w:val="left" w:pos="360" w:leader="none"/>
      </w:tabs>
    </w:pPr>
    <w:rPr>
      <w:rFonts w:ascii="宋体"/>
      <w:sz w:val="28"/>
      <w:szCs w:val="20"/>
    </w:rPr>
  </w:style>
  <w:style w:type="paragraph" w:styleId="983">
    <w:name w:val="font9"/>
    <w:basedOn w:val="825"/>
    <w:next w:val="983"/>
    <w:link w:val="825"/>
    <w:qFormat/>
    <w:pPr>
      <w:jc w:val="left"/>
      <w:spacing w:before="100" w:beforeAutospacing="1" w:after="100" w:afterAutospacing="1"/>
      <w:widowControl/>
    </w:pPr>
    <w:rPr>
      <w:rFonts w:hint="eastAsia" w:ascii="宋体" w:hAnsi="宋体" w:cs="Arial Unicode MS"/>
      <w:color w:val="000000"/>
      <w:sz w:val="20"/>
      <w:szCs w:val="20"/>
    </w:rPr>
  </w:style>
  <w:style w:type="paragraph" w:styleId="984">
    <w:name w:val="Char Char Char1 Char1"/>
    <w:basedOn w:val="825"/>
    <w:next w:val="984"/>
    <w:link w:val="825"/>
    <w:qFormat/>
    <w:rPr>
      <w:rFonts w:ascii="Tahoma" w:hAnsi="Tahoma"/>
      <w:sz w:val="24"/>
      <w:szCs w:val="20"/>
    </w:rPr>
  </w:style>
  <w:style w:type="paragraph" w:styleId="985">
    <w:name w:val="Char Char Char Char Char Char Char Char Char Char"/>
    <w:basedOn w:val="825"/>
    <w:next w:val="985"/>
    <w:link w:val="825"/>
    <w:qFormat/>
  </w:style>
  <w:style w:type="paragraph" w:styleId="986">
    <w:name w:val="Char Char1 Char Char Char Char Char Char Char Char"/>
    <w:basedOn w:val="825"/>
    <w:next w:val="986"/>
    <w:link w:val="825"/>
    <w:qFormat/>
    <w:pPr>
      <w:jc w:val="left"/>
      <w:spacing w:after="160" w:line="240" w:lineRule="exact"/>
      <w:widowControl/>
    </w:pPr>
    <w:rPr>
      <w:rFonts w:ascii="Verdana" w:hAnsi="Verdana"/>
      <w:sz w:val="20"/>
      <w:szCs w:val="20"/>
      <w:lang w:eastAsia="en-US"/>
    </w:rPr>
  </w:style>
  <w:style w:type="paragraph" w:styleId="987">
    <w:name w:val="Char1"/>
    <w:basedOn w:val="825"/>
    <w:next w:val="987"/>
    <w:link w:val="825"/>
    <w:qFormat/>
    <w:pPr>
      <w:tabs>
        <w:tab w:val="left" w:pos="360" w:leader="none"/>
      </w:tabs>
    </w:pPr>
    <w:rPr>
      <w:sz w:val="24"/>
    </w:rPr>
  </w:style>
  <w:style w:type="paragraph" w:styleId="988">
    <w:name w:val="正文列项_字母"/>
    <w:basedOn w:val="825"/>
    <w:next w:val="988"/>
    <w:link w:val="825"/>
    <w:qFormat/>
    <w:pPr>
      <w:numPr>
        <w:ilvl w:val="6"/>
        <w:numId w:val="1"/>
      </w:numPr>
      <w:ind w:left="480" w:hanging="180"/>
      <w:spacing w:line="460" w:lineRule="exact"/>
      <w:tabs>
        <w:tab w:val="clear" w:pos="635" w:leader="none"/>
      </w:tabs>
      <w:outlineLvl w:val="6"/>
    </w:pPr>
    <w:rPr>
      <w:rFonts w:ascii="宋体"/>
      <w:sz w:val="28"/>
      <w:szCs w:val="20"/>
    </w:rPr>
  </w:style>
  <w:style w:type="paragraph" w:styleId="989">
    <w:name w:val="xl28"/>
    <w:basedOn w:val="825"/>
    <w:next w:val="989"/>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0">
    <w:name w:val="xl47"/>
    <w:basedOn w:val="825"/>
    <w:next w:val="990"/>
    <w:link w:val="8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1">
    <w:name w:val="默认段落字体 Para Char Char Char Char"/>
    <w:basedOn w:val="825"/>
    <w:next w:val="991"/>
    <w:link w:val="825"/>
    <w:qFormat/>
    <w:rPr>
      <w:rFonts w:ascii="Arial" w:hAnsi="Arial" w:cs="Arial"/>
      <w:szCs w:val="21"/>
    </w:rPr>
  </w:style>
  <w:style w:type="paragraph" w:styleId="992">
    <w:name w:val="xl48"/>
    <w:basedOn w:val="825"/>
    <w:next w:val="992"/>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93">
    <w:name w:val="xl31"/>
    <w:basedOn w:val="825"/>
    <w:next w:val="993"/>
    <w:link w:val="8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4">
    <w:name w:val="xl53"/>
    <w:basedOn w:val="825"/>
    <w:next w:val="994"/>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5">
    <w:name w:val="Char Char Char"/>
    <w:basedOn w:val="825"/>
    <w:next w:val="995"/>
    <w:link w:val="825"/>
    <w:qFormat/>
    <w:rPr>
      <w:rFonts w:ascii="Tahoma" w:hAnsi="Tahoma"/>
      <w:sz w:val="24"/>
      <w:szCs w:val="20"/>
    </w:rPr>
  </w:style>
  <w:style w:type="paragraph" w:styleId="996">
    <w:name w:val="xl50"/>
    <w:basedOn w:val="825"/>
    <w:next w:val="996"/>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97">
    <w:name w:val="缺省文本"/>
    <w:basedOn w:val="825"/>
    <w:next w:val="997"/>
    <w:link w:val="825"/>
    <w:qFormat/>
    <w:pPr>
      <w:jc w:val="left"/>
    </w:pPr>
    <w:rPr>
      <w:sz w:val="24"/>
    </w:rPr>
  </w:style>
  <w:style w:type="paragraph" w:styleId="998">
    <w:name w:val="Char Char Char1"/>
    <w:basedOn w:val="825"/>
    <w:next w:val="998"/>
    <w:link w:val="825"/>
    <w:qFormat/>
    <w:rPr>
      <w:rFonts w:ascii="Tahoma" w:hAnsi="Tahoma"/>
      <w:sz w:val="24"/>
      <w:szCs w:val="20"/>
    </w:rPr>
  </w:style>
  <w:style w:type="paragraph" w:styleId="999">
    <w:name w:val="Char Char Char Char Char Char Char1"/>
    <w:basedOn w:val="825"/>
    <w:next w:val="999"/>
    <w:link w:val="825"/>
    <w:qFormat/>
    <w:pPr>
      <w:ind w:firstLine="200"/>
      <w:spacing w:line="360" w:lineRule="auto"/>
    </w:pPr>
    <w:rPr>
      <w:rFonts w:eastAsia="仿宋_GB2312"/>
      <w:sz w:val="24"/>
    </w:rPr>
  </w:style>
  <w:style w:type="paragraph" w:styleId="1000">
    <w:name w:val="xl51"/>
    <w:basedOn w:val="825"/>
    <w:next w:val="1000"/>
    <w:link w:val="8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1">
    <w:name w:val="样式2"/>
    <w:basedOn w:val="887"/>
    <w:next w:val="1001"/>
    <w:link w:val="825"/>
    <w:qFormat/>
    <w:pPr>
      <w:jc w:val="center"/>
      <w:spacing w:line="360" w:lineRule="auto"/>
    </w:pPr>
    <w:rPr>
      <w:sz w:val="24"/>
    </w:rPr>
  </w:style>
  <w:style w:type="paragraph" w:styleId="1002">
    <w:name w:val="xl24"/>
    <w:basedOn w:val="825"/>
    <w:next w:val="1002"/>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3">
    <w:name w:val="xl29"/>
    <w:basedOn w:val="825"/>
    <w:next w:val="1003"/>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04">
    <w:name w:val="正文 + 楷体_GB2312"/>
    <w:basedOn w:val="825"/>
    <w:next w:val="1004"/>
    <w:link w:val="825"/>
    <w:qFormat/>
    <w:pPr>
      <w:jc w:val="left"/>
      <w:widowControl/>
    </w:pPr>
    <w:rPr>
      <w:rFonts w:ascii="楷体_GB2312" w:eastAsia="楷体_GB2312" w:cs="Arial"/>
      <w:sz w:val="24"/>
    </w:rPr>
  </w:style>
  <w:style w:type="paragraph" w:styleId="1005">
    <w:name w:val="xl34"/>
    <w:basedOn w:val="825"/>
    <w:next w:val="1005"/>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06">
    <w:name w:val="1 Char Char Char Char"/>
    <w:basedOn w:val="825"/>
    <w:next w:val="1006"/>
    <w:link w:val="825"/>
    <w:qFormat/>
    <w:rPr>
      <w:rFonts w:ascii="Tahoma" w:hAnsi="Tahoma"/>
      <w:sz w:val="24"/>
      <w:szCs w:val="20"/>
    </w:rPr>
  </w:style>
  <w:style w:type="paragraph" w:styleId="1007">
    <w:name w:val="Default"/>
    <w:next w:val="1007"/>
    <w:link w:val="825"/>
    <w:qFormat/>
    <w:pPr>
      <w:widowControl w:val="off"/>
    </w:pPr>
    <w:rPr>
      <w:rFonts w:ascii="Symbol" w:hAnsi="Symbol" w:cs="Symbol"/>
      <w:color w:val="000000"/>
      <w:sz w:val="24"/>
      <w:szCs w:val="24"/>
      <w:lang w:val="en-US" w:eastAsia="zh-CN" w:bidi="ar-SA"/>
    </w:rPr>
  </w:style>
  <w:style w:type="paragraph" w:styleId="1008">
    <w:name w:val="列出段落1"/>
    <w:basedOn w:val="825"/>
    <w:next w:val="1008"/>
    <w:link w:val="825"/>
    <w:qFormat/>
    <w:pPr>
      <w:ind w:firstLine="420"/>
    </w:pPr>
    <w:rPr>
      <w:rFonts w:ascii="Calibri" w:hAnsi="Calibri"/>
      <w:szCs w:val="22"/>
    </w:rPr>
  </w:style>
  <w:style w:type="paragraph" w:styleId="1009">
    <w:name w:val="default"/>
    <w:basedOn w:val="825"/>
    <w:next w:val="1009"/>
    <w:link w:val="825"/>
    <w:qFormat/>
    <w:pPr>
      <w:jc w:val="left"/>
      <w:spacing w:before="100" w:beforeAutospacing="1" w:after="100" w:afterAutospacing="1"/>
      <w:widowControl/>
    </w:pPr>
    <w:rPr>
      <w:rFonts w:ascii="宋体" w:hAnsi="宋体" w:cs="宋体"/>
      <w:sz w:val="24"/>
    </w:rPr>
  </w:style>
  <w:style w:type="paragraph" w:styleId="1010">
    <w:name w:val="字元 字元1"/>
    <w:basedOn w:val="825"/>
    <w:next w:val="1010"/>
    <w:link w:val="825"/>
    <w:qFormat/>
    <w:rPr>
      <w:rFonts w:ascii="Tahoma" w:hAnsi="Tahoma"/>
      <w:sz w:val="24"/>
      <w:szCs w:val="20"/>
    </w:rPr>
  </w:style>
  <w:style w:type="paragraph" w:styleId="1011">
    <w:name w:val="_Style 160"/>
    <w:next w:val="1011"/>
    <w:link w:val="825"/>
    <w:qFormat/>
    <w:rPr>
      <w:sz w:val="21"/>
      <w:szCs w:val="24"/>
      <w:lang w:val="en-US" w:eastAsia="zh-CN" w:bidi="ar-SA"/>
    </w:rPr>
  </w:style>
  <w:style w:type="paragraph" w:styleId="1012">
    <w:name w:val="项目编号3"/>
    <w:basedOn w:val="972"/>
    <w:next w:val="1012"/>
    <w:link w:val="825"/>
    <w:qFormat/>
    <w:pPr>
      <w:numPr>
        <w:ilvl w:val="0"/>
        <w:numId w:val="6"/>
      </w:numPr>
    </w:pPr>
  </w:style>
  <w:style w:type="paragraph" w:styleId="1013">
    <w:name w:val="Char21"/>
    <w:basedOn w:val="825"/>
    <w:next w:val="1013"/>
    <w:link w:val="825"/>
    <w:qFormat/>
    <w:rPr>
      <w:rFonts w:ascii="Tahoma" w:hAnsi="Tahoma"/>
      <w:sz w:val="24"/>
      <w:szCs w:val="20"/>
    </w:rPr>
  </w:style>
  <w:style w:type="paragraph" w:styleId="1014">
    <w:name w:val="表格文字"/>
    <w:basedOn w:val="858"/>
    <w:next w:val="1014"/>
    <w:link w:val="825"/>
    <w:qFormat/>
    <w:pPr>
      <w:ind w:firstLine="0"/>
      <w:spacing w:before="20" w:after="20" w:line="240" w:lineRule="auto"/>
    </w:pPr>
    <w:rPr>
      <w:rFonts w:ascii="Century Gothic" w:hAnsi="Century Gothic"/>
      <w:sz w:val="20"/>
      <w:szCs w:val="20"/>
    </w:rPr>
  </w:style>
  <w:style w:type="paragraph" w:styleId="1015">
    <w:name w:val="Char Char Char Char Char Char Char Char Char Char1"/>
    <w:basedOn w:val="825"/>
    <w:next w:val="1015"/>
    <w:link w:val="825"/>
    <w:qFormat/>
    <w:rPr>
      <w:rFonts w:ascii="宋体" w:hAnsi="宋体" w:cs="Courier New"/>
      <w:sz w:val="32"/>
      <w:szCs w:val="32"/>
    </w:rPr>
  </w:style>
  <w:style w:type="paragraph" w:styleId="1016">
    <w:name w:val="正文文本样式 加粗"/>
    <w:basedOn w:val="972"/>
    <w:next w:val="1016"/>
    <w:link w:val="825"/>
    <w:qFormat/>
    <w:rPr>
      <w:b/>
    </w:rPr>
  </w:style>
  <w:style w:type="paragraph" w:styleId="1017">
    <w:name w:val="Char2 Char Char Char Char Char Char"/>
    <w:basedOn w:val="825"/>
    <w:next w:val="1017"/>
    <w:link w:val="825"/>
    <w:qFormat/>
    <w:pPr>
      <w:jc w:val="center"/>
      <w:spacing w:line="400" w:lineRule="exact"/>
      <w:widowControl/>
    </w:pPr>
  </w:style>
  <w:style w:type="paragraph" w:styleId="1018">
    <w:name w:val="Char Char4"/>
    <w:basedOn w:val="825"/>
    <w:next w:val="1018"/>
    <w:link w:val="825"/>
    <w:qFormat/>
    <w:pPr>
      <w:jc w:val="center"/>
      <w:spacing w:line="400" w:lineRule="exact"/>
      <w:widowControl/>
    </w:pPr>
  </w:style>
  <w:style w:type="paragraph" w:styleId="1019">
    <w:name w:val="Char3 Char Char Char1"/>
    <w:basedOn w:val="825"/>
    <w:next w:val="1019"/>
    <w:link w:val="825"/>
    <w:qFormat/>
    <w:rPr>
      <w:rFonts w:ascii="Tahoma" w:hAnsi="Tahoma"/>
      <w:sz w:val="24"/>
      <w:szCs w:val="20"/>
    </w:rPr>
  </w:style>
  <w:style w:type="paragraph" w:styleId="1020">
    <w:name w:val="无间隔"/>
    <w:next w:val="1020"/>
    <w:link w:val="825"/>
    <w:qFormat/>
    <w:pPr>
      <w:jc w:val="both"/>
      <w:widowControl w:val="off"/>
    </w:pPr>
    <w:rPr>
      <w:sz w:val="21"/>
      <w:szCs w:val="24"/>
      <w:lang w:val="en-US" w:eastAsia="zh-CN" w:bidi="ar-SA"/>
    </w:rPr>
  </w:style>
  <w:style w:type="paragraph" w:styleId="1021">
    <w:name w:val="22222222222222"/>
    <w:basedOn w:val="825"/>
    <w:next w:val="1021"/>
    <w:link w:val="825"/>
    <w:qFormat/>
    <w:pPr>
      <w:ind w:firstLine="480"/>
      <w:jc w:val="left"/>
      <w:spacing w:line="360" w:lineRule="auto"/>
      <w:widowControl/>
    </w:pPr>
    <w:rPr>
      <w:color w:val="ff0000"/>
      <w:sz w:val="24"/>
      <w:szCs w:val="20"/>
    </w:rPr>
  </w:style>
  <w:style w:type="character" w:styleId="1022">
    <w:name w:val="中等深浅网格 1 - 强调文字颜色 2 Char"/>
    <w:next w:val="1022"/>
    <w:link w:val="1023"/>
    <w:qFormat/>
    <w:rPr>
      <w:sz w:val="21"/>
      <w:szCs w:val="24"/>
      <w:lang w:val="zh-CN" w:eastAsia="zh-CN" w:bidi="ar-SA"/>
    </w:rPr>
  </w:style>
  <w:style w:type="paragraph" w:styleId="1023">
    <w:name w:val="1"/>
    <w:next w:val="1023"/>
    <w:link w:val="1022"/>
    <w:qFormat/>
    <w:rPr>
      <w:sz w:val="21"/>
      <w:szCs w:val="24"/>
      <w:lang w:val="zh-CN" w:eastAsia="zh-CN" w:bidi="ar-SA"/>
    </w:rPr>
  </w:style>
  <w:style w:type="paragraph" w:styleId="1024">
    <w:name w:val="图文"/>
    <w:basedOn w:val="825"/>
    <w:next w:val="1024"/>
    <w:link w:val="825"/>
    <w:qFormat/>
    <w:pPr>
      <w:spacing w:after="50" w:line="360" w:lineRule="auto"/>
    </w:pPr>
    <w:rPr>
      <w:sz w:val="24"/>
    </w:rPr>
  </w:style>
  <w:style w:type="paragraph" w:styleId="1025">
    <w:name w:val="xl23"/>
    <w:basedOn w:val="825"/>
    <w:next w:val="1025"/>
    <w:link w:val="825"/>
    <w:qFormat/>
    <w:pPr>
      <w:spacing w:before="100" w:beforeAutospacing="1" w:after="100" w:afterAutospacing="1" w:line="360" w:lineRule="auto"/>
      <w:widowControl/>
    </w:pPr>
    <w:rPr>
      <w:sz w:val="24"/>
      <w:szCs w:val="20"/>
    </w:rPr>
  </w:style>
  <w:style w:type="paragraph" w:styleId="1026">
    <w:name w:val="正文表格"/>
    <w:basedOn w:val="825"/>
    <w:next w:val="1026"/>
    <w:link w:val="1027"/>
    <w:qFormat/>
    <w:pPr>
      <w:jc w:val="left"/>
    </w:pPr>
    <w:rPr>
      <w:rFonts w:ascii="宋体" w:hAnsi="宋体"/>
      <w:color w:val="000000"/>
      <w:szCs w:val="21"/>
    </w:rPr>
  </w:style>
  <w:style w:type="character" w:styleId="1027">
    <w:name w:val="正文表格 Char"/>
    <w:next w:val="1027"/>
    <w:link w:val="1026"/>
    <w:qFormat/>
    <w:rPr>
      <w:rFonts w:ascii="宋体" w:hAnsi="宋体"/>
      <w:color w:val="000000"/>
      <w:sz w:val="21"/>
      <w:szCs w:val="21"/>
    </w:rPr>
  </w:style>
  <w:style w:type="paragraph" w:styleId="1028">
    <w:name w:val="正文重点"/>
    <w:basedOn w:val="825"/>
    <w:next w:val="1028"/>
    <w:link w:val="1029"/>
    <w:qFormat/>
    <w:pPr>
      <w:ind w:firstLine="482"/>
      <w:jc w:val="left"/>
      <w:spacing w:line="360" w:lineRule="auto"/>
    </w:pPr>
    <w:rPr>
      <w:b/>
      <w:sz w:val="24"/>
      <w:szCs w:val="20"/>
    </w:rPr>
  </w:style>
  <w:style w:type="character" w:styleId="1029">
    <w:name w:val="正文重点 Char"/>
    <w:next w:val="1029"/>
    <w:link w:val="1028"/>
    <w:qFormat/>
    <w:rPr>
      <w:b/>
      <w:sz w:val="24"/>
    </w:rPr>
  </w:style>
  <w:style w:type="paragraph" w:styleId="1030">
    <w:name w:val="标题1-附件"/>
    <w:basedOn w:val="826"/>
    <w:next w:val="1030"/>
    <w:link w:val="825"/>
    <w:qFormat/>
    <w:pPr>
      <w:jc w:val="left"/>
    </w:pPr>
    <w:rPr>
      <w:sz w:val="24"/>
      <w:szCs w:val="24"/>
    </w:rPr>
  </w:style>
  <w:style w:type="paragraph" w:styleId="1031">
    <w:name w:val="正文小标题"/>
    <w:basedOn w:val="825"/>
    <w:next w:val="839"/>
    <w:link w:val="1032"/>
    <w:qFormat/>
    <w:pPr>
      <w:ind w:firstLine="482"/>
      <w:jc w:val="left"/>
      <w:spacing w:before="312" w:after="312"/>
    </w:pPr>
    <w:rPr>
      <w:rFonts w:ascii="宋体" w:hAnsi="宋体"/>
      <w:b/>
      <w:i/>
      <w:color w:val="ff0000"/>
      <w:sz w:val="24"/>
      <w:szCs w:val="20"/>
    </w:rPr>
  </w:style>
  <w:style w:type="character" w:styleId="1032">
    <w:name w:val="正文小标题 Char"/>
    <w:next w:val="1032"/>
    <w:link w:val="1031"/>
    <w:qFormat/>
    <w:rPr>
      <w:rFonts w:ascii="宋体" w:hAnsi="宋体"/>
      <w:b/>
      <w:i/>
      <w:color w:val="ff0000"/>
      <w:sz w:val="24"/>
    </w:rPr>
  </w:style>
  <w:style w:type="paragraph" w:styleId="1033">
    <w:name w:val="正文大标题"/>
    <w:basedOn w:val="1031"/>
    <w:next w:val="839"/>
    <w:link w:val="1034"/>
    <w:qFormat/>
    <w:pPr>
      <w:jc w:val="center"/>
    </w:pPr>
    <w:rPr>
      <w:i w:val="0"/>
      <w:color w:val="000000"/>
      <w:sz w:val="28"/>
      <w:szCs w:val="21"/>
    </w:rPr>
  </w:style>
  <w:style w:type="character" w:styleId="1034">
    <w:name w:val="正文大标题 Char"/>
    <w:next w:val="1034"/>
    <w:link w:val="1033"/>
    <w:qFormat/>
    <w:rPr>
      <w:rFonts w:ascii="宋体" w:hAnsi="宋体"/>
      <w:b/>
      <w:color w:val="000000"/>
      <w:sz w:val="28"/>
      <w:szCs w:val="21"/>
    </w:rPr>
  </w:style>
  <w:style w:type="paragraph" w:styleId="1035">
    <w:name w:val="注释"/>
    <w:basedOn w:val="825"/>
    <w:next w:val="1035"/>
    <w:link w:val="1036"/>
    <w:qFormat/>
    <w:pPr>
      <w:ind w:left="420" w:hanging="420"/>
      <w:jc w:val="left"/>
    </w:pPr>
    <w:rPr>
      <w:rFonts w:ascii="宋体" w:hAnsi="宋体"/>
      <w:szCs w:val="21"/>
    </w:rPr>
  </w:style>
  <w:style w:type="character" w:styleId="1036">
    <w:name w:val="注释 Char"/>
    <w:next w:val="1036"/>
    <w:link w:val="1035"/>
    <w:qFormat/>
    <w:rPr>
      <w:rFonts w:ascii="宋体" w:hAnsi="宋体"/>
      <w:sz w:val="21"/>
      <w:szCs w:val="21"/>
    </w:rPr>
  </w:style>
  <w:style w:type="paragraph" w:styleId="1037">
    <w:name w:val="正文须知-1级"/>
    <w:basedOn w:val="825"/>
    <w:next w:val="825"/>
    <w:link w:val="825"/>
    <w:qFormat/>
    <w:pPr>
      <w:numPr>
        <w:ilvl w:val="0"/>
        <w:numId w:val="7"/>
      </w:numPr>
      <w:spacing w:line="300" w:lineRule="auto"/>
    </w:pPr>
    <w:rPr>
      <w:rFonts w:ascii="宋体" w:hAnsi="Calibri"/>
      <w:sz w:val="24"/>
      <w:szCs w:val="21"/>
    </w:rPr>
  </w:style>
  <w:style w:type="paragraph" w:styleId="1038">
    <w:name w:val="正文须知-2级"/>
    <w:basedOn w:val="825"/>
    <w:next w:val="1038"/>
    <w:link w:val="825"/>
    <w:qFormat/>
    <w:pPr>
      <w:numPr>
        <w:ilvl w:val="1"/>
        <w:numId w:val="7"/>
      </w:numPr>
      <w:spacing w:line="300" w:lineRule="auto"/>
    </w:pPr>
    <w:rPr>
      <w:rFonts w:ascii="宋体" w:hAnsi="Calibri"/>
      <w:sz w:val="24"/>
      <w:szCs w:val="21"/>
    </w:rPr>
  </w:style>
  <w:style w:type="paragraph" w:styleId="1039">
    <w:name w:val="正文须知-3级"/>
    <w:basedOn w:val="825"/>
    <w:next w:val="1039"/>
    <w:link w:val="825"/>
    <w:qFormat/>
    <w:pPr>
      <w:numPr>
        <w:ilvl w:val="2"/>
        <w:numId w:val="7"/>
      </w:numPr>
      <w:ind w:hanging="355"/>
      <w:spacing w:line="300" w:lineRule="auto"/>
    </w:pPr>
    <w:rPr>
      <w:rFonts w:ascii="宋体" w:hAnsi="Calibri"/>
      <w:sz w:val="24"/>
      <w:szCs w:val="21"/>
    </w:rPr>
  </w:style>
  <w:style w:type="character" w:styleId="1040">
    <w:name w:val="纯文本 字符"/>
    <w:next w:val="1040"/>
    <w:link w:val="825"/>
    <w:uiPriority w:val="99"/>
    <w:qFormat/>
    <w:rPr>
      <w:rFonts w:ascii="宋体" w:hAnsi="Courier New" w:eastAsia="宋体" w:cs="Times New Roman"/>
      <w:sz w:val="21"/>
      <w:szCs w:val="21"/>
      <w:lang w:val="en-US" w:eastAsia="zh-CN" w:bidi="ar-SA"/>
    </w:rPr>
  </w:style>
  <w:style w:type="paragraph" w:styleId="1041">
    <w:name w:val="表格1"/>
    <w:basedOn w:val="825"/>
    <w:next w:val="1041"/>
    <w:link w:val="825"/>
    <w:qFormat/>
    <w:pPr>
      <w:ind w:firstLine="480"/>
      <w:jc w:val="center"/>
    </w:pPr>
    <w:rPr>
      <w:sz w:val="24"/>
      <w:szCs w:val="20"/>
    </w:rPr>
  </w:style>
  <w:style w:type="character" w:styleId="1042">
    <w:name w:val="纯文本 字符1"/>
    <w:next w:val="1042"/>
    <w:link w:val="825"/>
    <w:qFormat/>
    <w:rPr>
      <w:rFonts w:ascii="宋体" w:hAnsi="Courier New"/>
    </w:rPr>
  </w:style>
  <w:style w:type="character" w:styleId="1043">
    <w:name w:val="bjh-p"/>
    <w:next w:val="1043"/>
    <w:link w:val="825"/>
    <w:qFormat/>
  </w:style>
  <w:style w:type="paragraph" w:styleId="1044">
    <w:name w:val="无标题条"/>
    <w:next w:val="825"/>
    <w:link w:val="825"/>
    <w:qFormat/>
    <w:pPr>
      <w:jc w:val="both"/>
    </w:pPr>
    <w:rPr>
      <w:sz w:val="21"/>
      <w:lang w:val="en-US" w:eastAsia="zh-CN" w:bidi="ar-SA"/>
    </w:rPr>
  </w:style>
  <w:style w:type="character" w:styleId="1045">
    <w:name w:val="正文格式 Char"/>
    <w:next w:val="1045"/>
    <w:link w:val="1046"/>
    <w:qFormat/>
    <w:rPr>
      <w:rFonts w:ascii="宋体" w:hAnsi="宋体"/>
      <w:sz w:val="24"/>
      <w:szCs w:val="24"/>
      <w:lang w:val="en-GB"/>
    </w:rPr>
  </w:style>
  <w:style w:type="paragraph" w:styleId="1046">
    <w:name w:val="正文格式"/>
    <w:basedOn w:val="825"/>
    <w:next w:val="1046"/>
    <w:link w:val="1045"/>
    <w:qFormat/>
    <w:pPr>
      <w:ind w:firstLine="480"/>
      <w:spacing w:line="360" w:lineRule="auto"/>
    </w:pPr>
    <w:rPr>
      <w:rFonts w:ascii="宋体" w:hAnsi="宋体"/>
      <w:sz w:val="24"/>
      <w:lang w:val="en-GB"/>
    </w:rPr>
  </w:style>
  <w:style w:type="character" w:styleId="1047">
    <w:name w:val="标题 3 Char"/>
    <w:next w:val="1047"/>
    <w:link w:val="825"/>
    <w:qFormat/>
    <w:rPr>
      <w:rFonts w:ascii="宋体" w:eastAsia="宋体"/>
      <w:b/>
      <w:sz w:val="24"/>
      <w:u w:val="single"/>
      <w:lang w:val="en-US" w:eastAsia="zh-CN" w:bidi="ar-SA"/>
    </w:rPr>
  </w:style>
  <w:style w:type="character" w:styleId="1048">
    <w:name w:val="正文缩进 Char"/>
    <w:next w:val="1048"/>
    <w:link w:val="825"/>
    <w:qFormat/>
    <w:rPr>
      <w:rFonts w:ascii="宋体" w:eastAsia="宋体"/>
      <w:sz w:val="24"/>
      <w:szCs w:val="24"/>
      <w:lang w:val="en-US" w:eastAsia="zh-CN" w:bidi="ar-SA"/>
    </w:rPr>
  </w:style>
  <w:style w:type="character" w:styleId="1049">
    <w:name w:val="Char Char111"/>
    <w:next w:val="1049"/>
    <w:link w:val="825"/>
    <w:qFormat/>
    <w:rPr>
      <w:rFonts w:ascii="宋体" w:eastAsia="宋体"/>
      <w:b/>
      <w:sz w:val="24"/>
      <w:u w:val="single"/>
      <w:lang w:val="en-US" w:eastAsia="zh-CN" w:bidi="ar-SA"/>
    </w:rPr>
  </w:style>
  <w:style w:type="character" w:styleId="1050">
    <w:name w:val="正文文本缩进 Char"/>
    <w:next w:val="1050"/>
    <w:link w:val="825"/>
    <w:qFormat/>
    <w:rPr>
      <w:rFonts w:eastAsia="宋体"/>
      <w:sz w:val="24"/>
      <w:szCs w:val="24"/>
      <w:lang w:val="en-US" w:eastAsia="zh-CN" w:bidi="ar-SA"/>
    </w:rPr>
  </w:style>
  <w:style w:type="character" w:styleId="1051">
    <w:name w:val="列出段落 Char"/>
    <w:next w:val="1051"/>
    <w:link w:val="825"/>
    <w:qFormat/>
    <w:rPr>
      <w:rFonts w:ascii="Calibri" w:hAnsi="Calibri" w:eastAsia="宋体"/>
      <w:sz w:val="21"/>
      <w:szCs w:val="22"/>
      <w:lang w:val="en-US" w:eastAsia="zh-CN" w:bidi="ar-SA"/>
    </w:rPr>
  </w:style>
  <w:style w:type="character" w:styleId="1052">
    <w:name w:val="页眉 Char"/>
    <w:next w:val="1052"/>
    <w:link w:val="825"/>
    <w:qFormat/>
    <w:rPr>
      <w:rFonts w:eastAsia="宋体"/>
      <w:sz w:val="18"/>
      <w:szCs w:val="18"/>
      <w:lang w:val="en-US" w:eastAsia="zh-CN" w:bidi="ar-SA"/>
    </w:rPr>
  </w:style>
  <w:style w:type="character" w:styleId="1053">
    <w:name w:val="标题 2 Char"/>
    <w:next w:val="1053"/>
    <w:link w:val="825"/>
    <w:qFormat/>
    <w:rPr>
      <w:rFonts w:ascii="Arial" w:hAnsi="Arial" w:eastAsia="黑体"/>
      <w:b/>
      <w:sz w:val="30"/>
      <w:lang w:val="en-US" w:eastAsia="zh-CN" w:bidi="ar-SA"/>
    </w:rPr>
  </w:style>
  <w:style w:type="paragraph" w:styleId="1054">
    <w:name w:val="字元 字元2"/>
    <w:basedOn w:val="825"/>
    <w:next w:val="1054"/>
    <w:link w:val="825"/>
    <w:qFormat/>
    <w:rPr>
      <w:rFonts w:ascii="Tahoma" w:hAnsi="Tahoma"/>
      <w:sz w:val="24"/>
      <w:szCs w:val="20"/>
    </w:rPr>
  </w:style>
  <w:style w:type="paragraph" w:styleId="1055">
    <w:name w:val="Char3 Char Char Char2"/>
    <w:basedOn w:val="825"/>
    <w:next w:val="1055"/>
    <w:link w:val="825"/>
    <w:qFormat/>
    <w:rPr>
      <w:rFonts w:ascii="Tahoma" w:hAnsi="Tahoma"/>
      <w:sz w:val="24"/>
      <w:szCs w:val="20"/>
    </w:rPr>
  </w:style>
  <w:style w:type="paragraph" w:styleId="1056">
    <w:name w:val="正文文本缩进2"/>
    <w:basedOn w:val="825"/>
    <w:next w:val="1056"/>
    <w:link w:val="825"/>
    <w:qFormat/>
    <w:pPr>
      <w:ind w:firstLine="480"/>
      <w:spacing w:line="480" w:lineRule="exact"/>
    </w:pPr>
    <w:rPr>
      <w:rFonts w:ascii="宋体" w:hAnsi="宋体"/>
      <w:sz w:val="24"/>
      <w:lang w:val="zh-CN" w:eastAsia="zh-CN"/>
    </w:rPr>
  </w:style>
  <w:style w:type="paragraph" w:styleId="1057">
    <w:name w:val="Char3"/>
    <w:basedOn w:val="825"/>
    <w:next w:val="1057"/>
    <w:link w:val="825"/>
    <w:qFormat/>
    <w:pPr>
      <w:tabs>
        <w:tab w:val="left" w:pos="360" w:leader="none"/>
      </w:tabs>
    </w:pPr>
    <w:rPr>
      <w:sz w:val="24"/>
    </w:rPr>
  </w:style>
  <w:style w:type="paragraph" w:styleId="1058">
    <w:name w:val="Char Char Char Char Char Char Char Char Char Char Char Char Char Char Char Char1"/>
    <w:basedOn w:val="825"/>
    <w:next w:val="1058"/>
    <w:link w:val="825"/>
    <w:qFormat/>
    <w:pPr>
      <w:jc w:val="center"/>
      <w:spacing w:after="160" w:line="240" w:lineRule="exact"/>
      <w:widowControl/>
    </w:pPr>
    <w:rPr>
      <w:rFonts w:ascii="宋体" w:hAnsi="宋体"/>
      <w:b/>
      <w:sz w:val="30"/>
      <w:szCs w:val="30"/>
      <w:lang w:eastAsia="en-US"/>
    </w:rPr>
  </w:style>
  <w:style w:type="paragraph" w:styleId="1059">
    <w:name w:val="Char Char1 Char Char Char Char Char Char1"/>
    <w:basedOn w:val="825"/>
    <w:next w:val="1059"/>
    <w:link w:val="825"/>
    <w:qFormat/>
    <w:pPr>
      <w:jc w:val="left"/>
      <w:spacing w:after="160" w:line="240" w:lineRule="exact"/>
      <w:widowControl/>
    </w:pPr>
    <w:rPr>
      <w:rFonts w:ascii="Verdana" w:hAnsi="Verdana" w:eastAsia="仿宋_GB2312"/>
      <w:sz w:val="24"/>
      <w:szCs w:val="20"/>
      <w:lang w:eastAsia="en-US"/>
    </w:rPr>
  </w:style>
  <w:style w:type="paragraph" w:styleId="1060">
    <w:name w:val="列出段落2"/>
    <w:basedOn w:val="825"/>
    <w:next w:val="1060"/>
    <w:link w:val="825"/>
    <w:qFormat/>
    <w:pPr>
      <w:ind w:firstLine="420"/>
    </w:pPr>
    <w:rPr>
      <w:rFonts w:ascii="Calibri" w:hAnsi="Calibri"/>
      <w:szCs w:val="22"/>
    </w:rPr>
  </w:style>
  <w:style w:type="paragraph" w:styleId="1061">
    <w:name w:val="Char Char Char1 Char2"/>
    <w:basedOn w:val="825"/>
    <w:next w:val="1061"/>
    <w:link w:val="825"/>
    <w:qFormat/>
    <w:rPr>
      <w:rFonts w:ascii="Tahoma" w:hAnsi="Tahoma"/>
      <w:sz w:val="24"/>
      <w:szCs w:val="20"/>
    </w:rPr>
  </w:style>
  <w:style w:type="paragraph" w:styleId="1062">
    <w:name w:val="Char Char Char2"/>
    <w:basedOn w:val="825"/>
    <w:next w:val="1062"/>
    <w:link w:val="825"/>
    <w:qFormat/>
    <w:rPr>
      <w:rFonts w:ascii="Tahoma" w:hAnsi="Tahoma"/>
      <w:sz w:val="24"/>
      <w:szCs w:val="20"/>
    </w:rPr>
  </w:style>
  <w:style w:type="paragraph" w:styleId="1063">
    <w:name w:val="Char Char Char Char Char Char Char2"/>
    <w:basedOn w:val="825"/>
    <w:next w:val="1063"/>
    <w:link w:val="825"/>
    <w:qFormat/>
    <w:pPr>
      <w:ind w:firstLine="200"/>
      <w:spacing w:line="360" w:lineRule="auto"/>
    </w:pPr>
    <w:rPr>
      <w:rFonts w:eastAsia="仿宋_GB2312"/>
      <w:sz w:val="24"/>
    </w:rPr>
  </w:style>
  <w:style w:type="paragraph" w:styleId="1064">
    <w:name w:val="正文缩进2"/>
    <w:basedOn w:val="825"/>
    <w:next w:val="1064"/>
    <w:link w:val="825"/>
    <w:qFormat/>
    <w:pPr>
      <w:ind w:firstLine="567"/>
      <w:spacing w:line="480" w:lineRule="exact"/>
      <w:widowControl/>
    </w:pPr>
    <w:rPr>
      <w:rFonts w:ascii="宋体"/>
      <w:color w:val="000000"/>
      <w:sz w:val="28"/>
      <w:szCs w:val="20"/>
      <w:lang w:val="zh-CN" w:eastAsia="zh-CN"/>
    </w:rPr>
  </w:style>
  <w:style w:type="paragraph" w:styleId="1065">
    <w:name w:val="Revision"/>
    <w:next w:val="1065"/>
    <w:link w:val="825"/>
    <w:qFormat/>
    <w:rPr>
      <w:sz w:val="21"/>
      <w:szCs w:val="24"/>
      <w:lang w:val="en-US" w:eastAsia="zh-CN" w:bidi="ar-SA"/>
    </w:rPr>
  </w:style>
  <w:style w:type="paragraph" w:styleId="1066">
    <w:name w:val="Char22"/>
    <w:basedOn w:val="825"/>
    <w:next w:val="1066"/>
    <w:link w:val="825"/>
    <w:qFormat/>
    <w:rPr>
      <w:rFonts w:ascii="Tahoma" w:hAnsi="Tahoma"/>
      <w:sz w:val="24"/>
      <w:szCs w:val="20"/>
    </w:rPr>
  </w:style>
  <w:style w:type="paragraph" w:styleId="1067">
    <w:name w:val="Char Char Char Char Char Char Char Char Char Char2"/>
    <w:basedOn w:val="825"/>
    <w:next w:val="1067"/>
    <w:link w:val="825"/>
    <w:qFormat/>
    <w:rPr>
      <w:rFonts w:ascii="宋体" w:hAnsi="宋体" w:cs="Courier New"/>
      <w:sz w:val="32"/>
      <w:szCs w:val="32"/>
    </w:rPr>
  </w:style>
  <w:style w:type="paragraph" w:styleId="1068">
    <w:name w:val="Char2 Char Char Char Char Char Char1"/>
    <w:basedOn w:val="825"/>
    <w:next w:val="1068"/>
    <w:link w:val="825"/>
    <w:qFormat/>
    <w:pPr>
      <w:jc w:val="center"/>
      <w:spacing w:line="400" w:lineRule="exact"/>
      <w:widowControl/>
    </w:pPr>
  </w:style>
  <w:style w:type="character" w:styleId="1069">
    <w:name w:val="页脚 Char"/>
    <w:next w:val="1069"/>
    <w:link w:val="825"/>
    <w:qFormat/>
    <w:rPr>
      <w:rFonts w:ascii="宋体" w:eastAsia="宋体"/>
      <w:sz w:val="18"/>
      <w:lang w:val="en-US" w:eastAsia="zh-CN" w:bidi="ar-SA"/>
    </w:rPr>
  </w:style>
  <w:style w:type="paragraph" w:styleId="1070">
    <w:name w:val="Char Char41"/>
    <w:basedOn w:val="825"/>
    <w:next w:val="1070"/>
    <w:link w:val="825"/>
    <w:qFormat/>
    <w:pPr>
      <w:jc w:val="center"/>
      <w:spacing w:line="400" w:lineRule="exact"/>
      <w:widowControl/>
    </w:pPr>
  </w:style>
  <w:style w:type="character" w:styleId="1071">
    <w:name w:val="批注文字 Char"/>
    <w:next w:val="1071"/>
    <w:link w:val="825"/>
    <w:uiPriority w:val="99"/>
    <w:qFormat/>
    <w:rPr>
      <w:sz w:val="21"/>
      <w:szCs w:val="24"/>
    </w:rPr>
  </w:style>
  <w:style w:type="character" w:styleId="1072">
    <w:name w:val="标题 Char"/>
    <w:next w:val="1072"/>
    <w:link w:val="825"/>
    <w:qFormat/>
    <w:rPr>
      <w:b/>
      <w:sz w:val="32"/>
    </w:rPr>
  </w:style>
  <w:style w:type="paragraph" w:styleId="1073">
    <w:name w:val="图例"/>
    <w:basedOn w:val="825"/>
    <w:next w:val="1073"/>
    <w:link w:val="825"/>
    <w:qFormat/>
    <w:pPr>
      <w:jc w:val="center"/>
      <w:spacing w:before="120" w:after="120" w:line="360" w:lineRule="auto"/>
    </w:pPr>
    <w:rPr>
      <w:rFonts w:eastAsia="仿宋_GB2312"/>
      <w:b/>
      <w:sz w:val="24"/>
      <w:szCs w:val="20"/>
    </w:rPr>
  </w:style>
  <w:style w:type="table" w:styleId="1074">
    <w:name w:val="Table Normal"/>
    <w:next w:val="1074"/>
    <w:link w:val="825"/>
    <w:uiPriority w:val="2"/>
    <w:unhideWhenUsed/>
    <w:qFormat/>
    <w:pPr>
      <w:widowControl w:val="off"/>
    </w:pPr>
    <w:rPr>
      <w:rFonts w:ascii="Calibri" w:hAnsi="Calibri"/>
      <w:sz w:val="22"/>
      <w:szCs w:val="22"/>
      <w:lang w:val="en-US" w:eastAsia="en-US" w:bidi="ar-SA"/>
    </w:rPr>
    <w:tblPr/>
  </w:style>
  <w:style w:type="paragraph" w:styleId="1075">
    <w:name w:val="Table Paragraph"/>
    <w:basedOn w:val="825"/>
    <w:next w:val="1075"/>
    <w:link w:val="825"/>
    <w:uiPriority w:val="1"/>
    <w:qFormat/>
    <w:pPr>
      <w:jc w:val="left"/>
    </w:pPr>
    <w:rPr>
      <w:rFonts w:ascii="宋体" w:hAnsi="宋体" w:cs="宋体"/>
      <w:sz w:val="22"/>
      <w:szCs w:val="22"/>
      <w:lang w:eastAsia="en-US"/>
    </w:rPr>
  </w:style>
  <w:style w:type="paragraph" w:styleId="1076">
    <w:name w:val="成文日期"/>
    <w:basedOn w:val="825"/>
    <w:next w:val="1076"/>
    <w:link w:val="1077"/>
    <w:qFormat/>
    <w:pPr>
      <w:ind w:right="400" w:firstLine="200"/>
      <w:jc w:val="right"/>
      <w:spacing w:line="570" w:lineRule="exact"/>
    </w:pPr>
    <w:rPr>
      <w:rFonts w:ascii="仿宋_GB2312" w:eastAsia="仿宋_GB2312"/>
      <w:sz w:val="32"/>
      <w:szCs w:val="20"/>
    </w:rPr>
  </w:style>
  <w:style w:type="character" w:styleId="1077">
    <w:name w:val="成文日期 Char"/>
    <w:next w:val="1077"/>
    <w:link w:val="1076"/>
    <w:rPr>
      <w:rFonts w:ascii="仿宋_GB2312" w:eastAsia="仿宋_GB2312"/>
      <w:sz w:val="32"/>
    </w:rPr>
  </w:style>
  <w:style w:type="paragraph" w:styleId="1078">
    <w:name w:val="修订"/>
    <w:next w:val="1078"/>
    <w:link w:val="825"/>
    <w:uiPriority w:val="99"/>
    <w:unhideWhenUsed/>
    <w:rPr>
      <w:sz w:val="21"/>
      <w:szCs w:val="24"/>
      <w:lang w:val="en-US" w:eastAsia="zh-CN" w:bidi="ar-SA"/>
    </w:rPr>
  </w:style>
  <w:style w:type="character" w:styleId="1079">
    <w:name w:val="font61"/>
    <w:basedOn w:val="835"/>
    <w:next w:val="1079"/>
    <w:link w:val="825"/>
    <w:rPr>
      <w:rFonts w:hint="eastAsia" w:ascii="宋体" w:hAnsi="宋体" w:eastAsia="宋体" w:cs="宋体"/>
      <w:i w:val="0"/>
      <w:iCs w:val="0"/>
      <w:color w:val="000000"/>
      <w:sz w:val="20"/>
      <w:szCs w:val="20"/>
      <w:u w:val="none"/>
    </w:rPr>
  </w:style>
  <w:style w:type="paragraph" w:styleId="1080">
    <w:name w:val="正文文本1"/>
    <w:basedOn w:val="825"/>
    <w:next w:val="825"/>
    <w:link w:val="825"/>
    <w:qFormat/>
    <w:pPr>
      <w:spacing w:before="120" w:line="22" w:lineRule="atLeast"/>
      <w:tabs>
        <w:tab w:val="left" w:pos="567" w:leader="none"/>
      </w:tabs>
    </w:pPr>
    <w:rPr>
      <w:rFonts w:ascii="宋体" w:hAnsi="宋体"/>
      <w:sz w:val="24"/>
    </w:rPr>
  </w:style>
  <w:style w:type="paragraph" w:styleId="1081">
    <w:name w:val="表"/>
    <w:next w:val="1081"/>
    <w:link w:val="825"/>
    <w:qFormat/>
    <w:pPr>
      <w:jc w:val="both"/>
      <w:spacing w:line="312" w:lineRule="auto"/>
      <w:widowControl w:val="off"/>
    </w:pPr>
    <w:rPr>
      <w:rFonts w:ascii="Calibri" w:hAnsi="Calibri" w:eastAsia="宋体" w:cs="宋体"/>
      <w:sz w:val="21"/>
      <w:lang w:val="en-US" w:eastAsia="zh-CN" w:bidi="ar-SA"/>
    </w:rPr>
  </w:style>
  <w:style w:type="paragraph" w:styleId="1082">
    <w:name w:val="Table Text"/>
    <w:basedOn w:val="825"/>
    <w:next w:val="1082"/>
    <w:link w:val="825"/>
    <w:semiHidden/>
    <w:qFormat/>
    <w:rPr>
      <w:rFonts w:ascii="宋体" w:hAnsi="宋体" w:eastAsia="宋体" w:cs="宋体"/>
      <w:sz w:val="24"/>
      <w:szCs w:val="24"/>
      <w:lang w:val="en-US" w:eastAsia="en-US" w:bidi="ar-SA"/>
    </w:rPr>
  </w:style>
  <w:style w:type="paragraph" w:styleId="1083">
    <w:name w:val="Other|1"/>
    <w:basedOn w:val="825"/>
    <w:next w:val="1083"/>
    <w:link w:val="825"/>
    <w:qFormat/>
    <w:pPr>
      <w:ind w:left="140"/>
      <w:jc w:val="left"/>
      <w:spacing w:line="440" w:lineRule="exact"/>
      <w:shd w:val="clear" w:color="auto" w:fill="ffffff"/>
    </w:pPr>
    <w:rPr>
      <w:rFonts w:ascii="MingLiU" w:hAnsi="MingLiU" w:eastAsia="MingLiU" w:cs="MingLiU"/>
      <w:sz w:val="26"/>
      <w:szCs w:val="26"/>
      <w:lang w:val="zh-CN" w:bidi="zh-CN"/>
    </w:rPr>
  </w:style>
  <w:style w:type="character" w:styleId="26678" w:default="1">
    <w:name w:val="Default Paragraph Font"/>
    <w:uiPriority w:val="1"/>
    <w:semiHidden/>
    <w:unhideWhenUsed/>
  </w:style>
  <w:style w:type="numbering" w:styleId="26679" w:default="1">
    <w:name w:val="No List"/>
    <w:uiPriority w:val="99"/>
    <w:semiHidden/>
    <w:unhideWhenUsed/>
  </w:style>
  <w:style w:type="table" w:styleId="266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image" Target="media/image1.jpg"/><Relationship Id="rId24" Type="http://schemas.openxmlformats.org/officeDocument/2006/relationships/image" Target="media/image2.jpg"/><Relationship Id="rId25" Type="http://schemas.openxmlformats.org/officeDocument/2006/relationships/image" Target="media/image3.jpg"/><Relationship Id="rId26" Type="http://schemas.openxmlformats.org/officeDocument/2006/relationships/image" Target="media/image4.jpg"/><Relationship Id="rId27" Type="http://schemas.openxmlformats.org/officeDocument/2006/relationships/image" Target="media/image5.jpg"/><Relationship Id="rId28"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蒋鑫晨</cp:lastModifiedBy>
  <cp:revision>5</cp:revision>
  <dcterms:created xsi:type="dcterms:W3CDTF">2022-05-30T08:08:00Z</dcterms:created>
  <dcterms:modified xsi:type="dcterms:W3CDTF">2026-05-28T02:22:14Z</dcterms:modified>
</cp:coreProperties>
</file>